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8F29" w14:textId="77777777" w:rsidR="00281577" w:rsidRPr="00F337A2" w:rsidRDefault="00281577" w:rsidP="00281577">
      <w:pPr>
        <w:jc w:val="center"/>
        <w:rPr>
          <w:rFonts w:ascii="Bookman Old Style" w:hAnsi="Bookman Old Style"/>
          <w:b/>
        </w:rPr>
      </w:pPr>
      <w:r w:rsidRPr="00F337A2">
        <w:rPr>
          <w:rFonts w:ascii="Bookman Old Style" w:hAnsi="Bookman Old Style"/>
          <w:noProof/>
          <w:lang w:eastAsia="it-IT"/>
        </w:rPr>
        <w:drawing>
          <wp:inline distT="0" distB="0" distL="0" distR="0" wp14:anchorId="65520239" wp14:editId="162C2418">
            <wp:extent cx="796290" cy="1177127"/>
            <wp:effectExtent l="0" t="0" r="3810" b="4445"/>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490" cy="1183335"/>
                    </a:xfrm>
                    <a:prstGeom prst="rect">
                      <a:avLst/>
                    </a:prstGeom>
                  </pic:spPr>
                </pic:pic>
              </a:graphicData>
            </a:graphic>
          </wp:inline>
        </w:drawing>
      </w:r>
    </w:p>
    <w:p w14:paraId="65920DD4" w14:textId="77777777" w:rsidR="00281577" w:rsidRPr="00F337A2" w:rsidRDefault="00281577" w:rsidP="00281577">
      <w:pPr>
        <w:jc w:val="center"/>
        <w:rPr>
          <w:rFonts w:ascii="Bookman Old Style" w:hAnsi="Bookman Old Style"/>
          <w:b/>
        </w:rPr>
      </w:pPr>
    </w:p>
    <w:p w14:paraId="0991B396" w14:textId="28AF7504" w:rsidR="00A61011" w:rsidRPr="007C7AD0" w:rsidRDefault="00281577" w:rsidP="00281577">
      <w:pPr>
        <w:jc w:val="center"/>
        <w:rPr>
          <w:rFonts w:ascii="Bookman Old Style" w:hAnsi="Bookman Old Style"/>
          <w:b/>
        </w:rPr>
      </w:pPr>
      <w:r w:rsidRPr="007C7AD0">
        <w:rPr>
          <w:rFonts w:ascii="Bookman Old Style" w:hAnsi="Bookman Old Style"/>
          <w:b/>
        </w:rPr>
        <w:t xml:space="preserve">NOTA DI LETTURA </w:t>
      </w:r>
      <w:r w:rsidR="00A61011" w:rsidRPr="007C7AD0">
        <w:rPr>
          <w:rFonts w:ascii="Bookman Old Style" w:hAnsi="Bookman Old Style"/>
          <w:b/>
        </w:rPr>
        <w:t>SULLE NOVIT</w:t>
      </w:r>
      <w:r w:rsidR="006E7459" w:rsidRPr="007C7AD0">
        <w:rPr>
          <w:rFonts w:ascii="Bookman Old Style" w:hAnsi="Bookman Old Style"/>
          <w:b/>
        </w:rPr>
        <w:t>À</w:t>
      </w:r>
      <w:r w:rsidR="00A61011" w:rsidRPr="007C7AD0">
        <w:rPr>
          <w:rFonts w:ascii="Bookman Old Style" w:hAnsi="Bookman Old Style"/>
          <w:b/>
        </w:rPr>
        <w:t xml:space="preserve"> INTRODOTTE DAL D.L. 25/2021 </w:t>
      </w:r>
    </w:p>
    <w:p w14:paraId="2F339180" w14:textId="2FBA61FE" w:rsidR="00281577" w:rsidRPr="007C7AD0" w:rsidRDefault="00A61011" w:rsidP="00281577">
      <w:pPr>
        <w:jc w:val="center"/>
        <w:rPr>
          <w:rFonts w:ascii="Bookman Old Style" w:hAnsi="Bookman Old Style"/>
          <w:b/>
          <w:bCs/>
        </w:rPr>
      </w:pPr>
      <w:r w:rsidRPr="007C7AD0">
        <w:rPr>
          <w:rFonts w:ascii="Bookman Old Style" w:hAnsi="Bookman Old Style"/>
          <w:b/>
        </w:rPr>
        <w:t>“</w:t>
      </w:r>
      <w:r w:rsidR="00281577" w:rsidRPr="007C7AD0">
        <w:rPr>
          <w:rFonts w:ascii="Bookman Old Style" w:hAnsi="Bookman Old Style"/>
          <w:b/>
          <w:bCs/>
        </w:rPr>
        <w:t>Disposizioni urgenti per il differimento di consultazioni elettorali per l'anno 2021</w:t>
      </w:r>
      <w:r w:rsidR="001D3B00">
        <w:rPr>
          <w:rFonts w:ascii="Bookman Old Style" w:hAnsi="Bookman Old Style"/>
          <w:b/>
          <w:bCs/>
        </w:rPr>
        <w:t>”</w:t>
      </w:r>
    </w:p>
    <w:p w14:paraId="03A300D6" w14:textId="37513EBC" w:rsidR="00A61011" w:rsidRDefault="00A61011" w:rsidP="00A61011">
      <w:pPr>
        <w:jc w:val="both"/>
        <w:rPr>
          <w:rFonts w:ascii="Bookman Old Style" w:hAnsi="Bookman Old Style"/>
        </w:rPr>
      </w:pPr>
    </w:p>
    <w:p w14:paraId="42E07EA6" w14:textId="6658759C" w:rsidR="008B0CF9" w:rsidRPr="008B0CF9" w:rsidRDefault="008B0CF9" w:rsidP="00A61011">
      <w:pPr>
        <w:jc w:val="both"/>
        <w:rPr>
          <w:rFonts w:ascii="Bookman Old Style" w:hAnsi="Bookman Old Style"/>
          <w:b/>
          <w:bCs/>
        </w:rPr>
      </w:pPr>
      <w:r w:rsidRPr="008B0CF9">
        <w:rPr>
          <w:rFonts w:ascii="Bookman Old Style" w:hAnsi="Bookman Old Style"/>
          <w:b/>
          <w:bCs/>
        </w:rPr>
        <w:t>Premessa</w:t>
      </w:r>
    </w:p>
    <w:p w14:paraId="6A393C2A" w14:textId="625F4122" w:rsidR="00AF1C03" w:rsidRDefault="008B0CF9" w:rsidP="00AF1C03">
      <w:pPr>
        <w:jc w:val="both"/>
        <w:rPr>
          <w:rFonts w:ascii="Bookman Old Style" w:hAnsi="Bookman Old Style"/>
        </w:rPr>
      </w:pPr>
      <w:r w:rsidRPr="00AF1C03">
        <w:rPr>
          <w:rFonts w:ascii="Bookman Old Style" w:hAnsi="Bookman Old Style"/>
        </w:rPr>
        <w:t xml:space="preserve">Il decreto legge </w:t>
      </w:r>
      <w:r w:rsidR="00AF1C03">
        <w:rPr>
          <w:rFonts w:ascii="Bookman Old Style" w:hAnsi="Bookman Old Style"/>
        </w:rPr>
        <w:t xml:space="preserve">5 marzo 2021, n. 25 recante </w:t>
      </w:r>
      <w:r w:rsidR="005D2490" w:rsidRPr="00AF1C03">
        <w:rPr>
          <w:rFonts w:ascii="Bookman Old Style" w:hAnsi="Bookman Old Style"/>
        </w:rPr>
        <w:t>“</w:t>
      </w:r>
      <w:r w:rsidR="005D2490" w:rsidRPr="007C7AD0">
        <w:rPr>
          <w:rFonts w:ascii="Bookman Old Style" w:hAnsi="Bookman Old Style"/>
          <w:i/>
          <w:iCs/>
        </w:rPr>
        <w:t>Disposizioni urgenti per il differimento di consultazioni elettorali per l'anno 2021</w:t>
      </w:r>
      <w:r w:rsidR="00AF1C03">
        <w:rPr>
          <w:rFonts w:ascii="Bookman Old Style" w:hAnsi="Bookman Old Style"/>
        </w:rPr>
        <w:t>” è stato approvato</w:t>
      </w:r>
      <w:r w:rsidR="001D3B00">
        <w:rPr>
          <w:rFonts w:ascii="Bookman Old Style" w:hAnsi="Bookman Old Style"/>
        </w:rPr>
        <w:t>, in via definitiva,</w:t>
      </w:r>
      <w:r w:rsidR="00AF1C03">
        <w:rPr>
          <w:rFonts w:ascii="Bookman Old Style" w:hAnsi="Bookman Old Style"/>
        </w:rPr>
        <w:t xml:space="preserve"> dal</w:t>
      </w:r>
      <w:r w:rsidR="00206870">
        <w:rPr>
          <w:rFonts w:ascii="Bookman Old Style" w:hAnsi="Bookman Old Style"/>
        </w:rPr>
        <w:t xml:space="preserve">la Camera dei Deputati </w:t>
      </w:r>
      <w:r w:rsidR="001D3B00">
        <w:rPr>
          <w:rFonts w:ascii="Bookman Old Style" w:hAnsi="Bookman Old Style"/>
        </w:rPr>
        <w:t>nella seduta de</w:t>
      </w:r>
      <w:r w:rsidR="00206870">
        <w:rPr>
          <w:rFonts w:ascii="Bookman Old Style" w:hAnsi="Bookman Old Style"/>
        </w:rPr>
        <w:t>l 2</w:t>
      </w:r>
      <w:r w:rsidR="001D3B00">
        <w:rPr>
          <w:rFonts w:ascii="Bookman Old Style" w:hAnsi="Bookman Old Style"/>
        </w:rPr>
        <w:t>8</w:t>
      </w:r>
      <w:r w:rsidR="00206870">
        <w:rPr>
          <w:rFonts w:ascii="Bookman Old Style" w:hAnsi="Bookman Old Style"/>
        </w:rPr>
        <w:t xml:space="preserve"> aprile</w:t>
      </w:r>
      <w:r w:rsidR="001D3B00">
        <w:rPr>
          <w:rFonts w:ascii="Bookman Old Style" w:hAnsi="Bookman Old Style"/>
        </w:rPr>
        <w:t xml:space="preserve"> e se ne attende ora la pubblicazione in Gazzetta Ufficiale.</w:t>
      </w:r>
    </w:p>
    <w:p w14:paraId="3B2D7014" w14:textId="2710BAFB" w:rsidR="00AF1C03" w:rsidRDefault="00AF1C03" w:rsidP="00AF1C03">
      <w:pPr>
        <w:jc w:val="both"/>
        <w:rPr>
          <w:rFonts w:ascii="Bookman Old Style" w:hAnsi="Bookman Old Style"/>
        </w:rPr>
      </w:pPr>
      <w:r>
        <w:rPr>
          <w:rFonts w:ascii="Bookman Old Style" w:hAnsi="Bookman Old Style"/>
        </w:rPr>
        <w:t xml:space="preserve">Di seguito </w:t>
      </w:r>
      <w:r w:rsidR="007C7AD0">
        <w:rPr>
          <w:rFonts w:ascii="Bookman Old Style" w:hAnsi="Bookman Old Style"/>
        </w:rPr>
        <w:t>un</w:t>
      </w:r>
      <w:r w:rsidR="001D3B00">
        <w:rPr>
          <w:rFonts w:ascii="Bookman Old Style" w:hAnsi="Bookman Old Style"/>
        </w:rPr>
        <w:t>a</w:t>
      </w:r>
      <w:r w:rsidR="007C7AD0">
        <w:rPr>
          <w:rFonts w:ascii="Bookman Old Style" w:hAnsi="Bookman Old Style"/>
        </w:rPr>
        <w:t xml:space="preserve"> breve nota sul contenuto </w:t>
      </w:r>
      <w:r w:rsidR="001D3B00">
        <w:rPr>
          <w:rFonts w:ascii="Bookman Old Style" w:hAnsi="Bookman Old Style"/>
        </w:rPr>
        <w:t>del provvedimento.</w:t>
      </w:r>
    </w:p>
    <w:p w14:paraId="1410670D" w14:textId="77777777" w:rsidR="007C7AD0" w:rsidRPr="00AF1C03" w:rsidRDefault="007C7AD0" w:rsidP="00AF1C03">
      <w:pPr>
        <w:jc w:val="both"/>
        <w:rPr>
          <w:rFonts w:ascii="Bookman Old Style" w:hAnsi="Bookman Old Style"/>
        </w:rPr>
      </w:pPr>
    </w:p>
    <w:p w14:paraId="4E95296A" w14:textId="3C33D481" w:rsidR="00A61011" w:rsidRPr="008B0CF9" w:rsidRDefault="001D3B00" w:rsidP="00A61011">
      <w:pPr>
        <w:jc w:val="both"/>
        <w:rPr>
          <w:rFonts w:ascii="Bookman Old Style" w:hAnsi="Bookman Old Style"/>
          <w:b/>
          <w:bCs/>
        </w:rPr>
      </w:pPr>
      <w:r>
        <w:rPr>
          <w:rFonts w:ascii="Bookman Old Style" w:hAnsi="Bookman Old Style"/>
          <w:b/>
          <w:bCs/>
        </w:rPr>
        <w:t xml:space="preserve">Principali disposizioni di interesse </w:t>
      </w:r>
      <w:r w:rsidR="00A61011" w:rsidRPr="008B0CF9">
        <w:rPr>
          <w:rFonts w:ascii="Bookman Old Style" w:hAnsi="Bookman Old Style"/>
          <w:b/>
          <w:bCs/>
        </w:rPr>
        <w:t xml:space="preserve">del </w:t>
      </w:r>
      <w:proofErr w:type="spellStart"/>
      <w:r w:rsidR="00A61011" w:rsidRPr="008B0CF9">
        <w:rPr>
          <w:rFonts w:ascii="Bookman Old Style" w:hAnsi="Bookman Old Style"/>
          <w:b/>
          <w:bCs/>
        </w:rPr>
        <w:t>d.l.</w:t>
      </w:r>
      <w:proofErr w:type="spellEnd"/>
      <w:r w:rsidR="00A61011" w:rsidRPr="008B0CF9">
        <w:rPr>
          <w:rFonts w:ascii="Bookman Old Style" w:hAnsi="Bookman Old Style"/>
          <w:b/>
          <w:bCs/>
        </w:rPr>
        <w:t xml:space="preserve"> </w:t>
      </w:r>
      <w:r>
        <w:rPr>
          <w:rFonts w:ascii="Bookman Old Style" w:hAnsi="Bookman Old Style"/>
          <w:b/>
          <w:bCs/>
        </w:rPr>
        <w:t xml:space="preserve">n. </w:t>
      </w:r>
      <w:r w:rsidR="00A61011" w:rsidRPr="008B0CF9">
        <w:rPr>
          <w:rFonts w:ascii="Bookman Old Style" w:hAnsi="Bookman Old Style"/>
          <w:b/>
          <w:bCs/>
        </w:rPr>
        <w:t>25/2021</w:t>
      </w:r>
    </w:p>
    <w:p w14:paraId="17E6986B" w14:textId="1F63B14A" w:rsidR="00A61011" w:rsidRDefault="00281577" w:rsidP="00A61011">
      <w:pPr>
        <w:jc w:val="both"/>
        <w:rPr>
          <w:rFonts w:ascii="Bookman Old Style" w:hAnsi="Bookman Old Style"/>
        </w:rPr>
      </w:pPr>
      <w:r w:rsidRPr="00281577">
        <w:rPr>
          <w:rFonts w:ascii="Bookman Old Style" w:hAnsi="Bookman Old Style"/>
        </w:rPr>
        <w:t>Il decreto-legge n. 25 del 2021</w:t>
      </w:r>
      <w:r w:rsidR="00A61011">
        <w:rPr>
          <w:rFonts w:ascii="Bookman Old Style" w:hAnsi="Bookman Old Style"/>
        </w:rPr>
        <w:t>, a causa</w:t>
      </w:r>
      <w:r w:rsidR="00A61011" w:rsidRPr="00A61011">
        <w:rPr>
          <w:rFonts w:ascii="Bookman Old Style" w:hAnsi="Bookman Old Style"/>
        </w:rPr>
        <w:t xml:space="preserve"> </w:t>
      </w:r>
      <w:r w:rsidR="00A61011" w:rsidRPr="00281577">
        <w:rPr>
          <w:rFonts w:ascii="Bookman Old Style" w:hAnsi="Bookman Old Style"/>
        </w:rPr>
        <w:t>del permanere del quadro epidemiologico da Covid-19</w:t>
      </w:r>
      <w:r w:rsidR="00A61011">
        <w:rPr>
          <w:rFonts w:ascii="Bookman Old Style" w:hAnsi="Bookman Old Style"/>
        </w:rPr>
        <w:t>,</w:t>
      </w:r>
      <w:r w:rsidRPr="00281577">
        <w:rPr>
          <w:rFonts w:ascii="Bookman Old Style" w:hAnsi="Bookman Old Style"/>
        </w:rPr>
        <w:t xml:space="preserve"> </w:t>
      </w:r>
      <w:r w:rsidRPr="007C7AD0">
        <w:rPr>
          <w:rFonts w:ascii="Bookman Old Style" w:hAnsi="Bookman Old Style"/>
          <w:b/>
          <w:bCs/>
        </w:rPr>
        <w:t>differisce i termini ordinari per lo svolgimento delle consultazioni elettorali previste per il corrente anno, prevedendo una finestra elettorale fra il 15 settembre e il 15 ottobre</w:t>
      </w:r>
      <w:r w:rsidR="00A61011">
        <w:rPr>
          <w:rFonts w:ascii="Bookman Old Style" w:hAnsi="Bookman Old Style"/>
        </w:rPr>
        <w:t>.</w:t>
      </w:r>
    </w:p>
    <w:p w14:paraId="6F11F8BF" w14:textId="2456DA23" w:rsidR="00281577" w:rsidRPr="00281577" w:rsidRDefault="00A61011" w:rsidP="00A61011">
      <w:pPr>
        <w:jc w:val="both"/>
        <w:rPr>
          <w:rFonts w:ascii="Bookman Old Style" w:hAnsi="Bookman Old Style"/>
        </w:rPr>
      </w:pPr>
      <w:r>
        <w:rPr>
          <w:rFonts w:ascii="Bookman Old Style" w:hAnsi="Bookman Old Style"/>
        </w:rPr>
        <w:t>D</w:t>
      </w:r>
      <w:r w:rsidR="00281577" w:rsidRPr="00281577">
        <w:rPr>
          <w:rFonts w:ascii="Bookman Old Style" w:hAnsi="Bookman Old Style"/>
        </w:rPr>
        <w:t xml:space="preserve">ispone altresì che le consultazioni si svolgano in due giornate, domenica </w:t>
      </w:r>
      <w:r w:rsidR="004B6167" w:rsidRPr="004B6167">
        <w:rPr>
          <w:rFonts w:ascii="Bookman Old Style" w:hAnsi="Bookman Old Style"/>
        </w:rPr>
        <w:t>dalle ore 7 alle ore 23</w:t>
      </w:r>
      <w:r w:rsidR="004B6167">
        <w:rPr>
          <w:rFonts w:ascii="Bookman Old Style" w:hAnsi="Bookman Old Style"/>
        </w:rPr>
        <w:t xml:space="preserve"> </w:t>
      </w:r>
      <w:r w:rsidR="001D3B00">
        <w:rPr>
          <w:rFonts w:ascii="Bookman Old Style" w:hAnsi="Bookman Old Style"/>
        </w:rPr>
        <w:t>e</w:t>
      </w:r>
      <w:r w:rsidR="00281577" w:rsidRPr="00281577">
        <w:rPr>
          <w:rFonts w:ascii="Bookman Old Style" w:hAnsi="Bookman Old Style"/>
        </w:rPr>
        <w:t xml:space="preserve"> lunedì</w:t>
      </w:r>
      <w:r w:rsidR="004B6167">
        <w:rPr>
          <w:rFonts w:ascii="Bookman Old Style" w:hAnsi="Bookman Old Style"/>
        </w:rPr>
        <w:t xml:space="preserve"> d</w:t>
      </w:r>
      <w:r w:rsidR="004B6167" w:rsidRPr="004B6167">
        <w:rPr>
          <w:rFonts w:ascii="Bookman Old Style" w:hAnsi="Bookman Old Style"/>
        </w:rPr>
        <w:t>alle ore 7 alle ore 15</w:t>
      </w:r>
      <w:r w:rsidR="001D3B00">
        <w:rPr>
          <w:rFonts w:ascii="Bookman Old Style" w:hAnsi="Bookman Old Style"/>
        </w:rPr>
        <w:t>,</w:t>
      </w:r>
      <w:r w:rsidR="00281577" w:rsidRPr="00281577">
        <w:rPr>
          <w:rFonts w:ascii="Bookman Old Style" w:hAnsi="Bookman Old Style"/>
        </w:rPr>
        <w:t xml:space="preserve"> e riduce ad un terzo il numero delle sottoscrizioni per le elezioni comunali e circoscrizionali.</w:t>
      </w:r>
    </w:p>
    <w:p w14:paraId="4689E153" w14:textId="38472BF9" w:rsidR="00A61011" w:rsidRDefault="00A61011" w:rsidP="00A61011">
      <w:pPr>
        <w:jc w:val="both"/>
        <w:rPr>
          <w:rFonts w:ascii="Bookman Old Style" w:hAnsi="Bookman Old Style"/>
        </w:rPr>
      </w:pPr>
      <w:r>
        <w:rPr>
          <w:rFonts w:ascii="Bookman Old Style" w:hAnsi="Bookman Old Style"/>
        </w:rPr>
        <w:t>Tale differimento si riferisce alle:</w:t>
      </w:r>
      <w:r w:rsidR="00281577" w:rsidRPr="00281577">
        <w:rPr>
          <w:rFonts w:ascii="Bookman Old Style" w:hAnsi="Bookman Old Style"/>
        </w:rPr>
        <w:t xml:space="preserve"> </w:t>
      </w:r>
    </w:p>
    <w:p w14:paraId="2CB2F640" w14:textId="5E6D1274" w:rsidR="00A61011" w:rsidRPr="00A61011" w:rsidRDefault="00281577" w:rsidP="00A61011">
      <w:pPr>
        <w:pStyle w:val="Paragrafoelenco"/>
        <w:numPr>
          <w:ilvl w:val="0"/>
          <w:numId w:val="2"/>
        </w:numPr>
        <w:jc w:val="both"/>
        <w:rPr>
          <w:rFonts w:ascii="Bookman Old Style" w:hAnsi="Bookman Old Style"/>
        </w:rPr>
      </w:pPr>
      <w:r w:rsidRPr="00A61011">
        <w:rPr>
          <w:rFonts w:ascii="Bookman Old Style" w:hAnsi="Bookman Old Style"/>
        </w:rPr>
        <w:t xml:space="preserve">elezioni ordinarie delle amministrazioni comunali (conseguenti alla scadenza naturale del mandato degli organi in carica); </w:t>
      </w:r>
    </w:p>
    <w:p w14:paraId="05A63EFE" w14:textId="1973FCED" w:rsidR="00A61011" w:rsidRPr="00A61011" w:rsidRDefault="00281577" w:rsidP="00A61011">
      <w:pPr>
        <w:pStyle w:val="Paragrafoelenco"/>
        <w:numPr>
          <w:ilvl w:val="0"/>
          <w:numId w:val="2"/>
        </w:numPr>
        <w:jc w:val="both"/>
        <w:rPr>
          <w:rFonts w:ascii="Bookman Old Style" w:hAnsi="Bookman Old Style"/>
        </w:rPr>
      </w:pPr>
      <w:r w:rsidRPr="00A61011">
        <w:rPr>
          <w:rFonts w:ascii="Bookman Old Style" w:hAnsi="Bookman Old Style"/>
        </w:rPr>
        <w:t xml:space="preserve">elezioni per il rinnovo dei consigli comunali sciolti per mafia; </w:t>
      </w:r>
    </w:p>
    <w:p w14:paraId="73E47064" w14:textId="2B578EE6" w:rsidR="00A61011" w:rsidRPr="00A61011" w:rsidRDefault="00281577" w:rsidP="00A61011">
      <w:pPr>
        <w:pStyle w:val="Paragrafoelenco"/>
        <w:numPr>
          <w:ilvl w:val="0"/>
          <w:numId w:val="2"/>
        </w:numPr>
        <w:jc w:val="both"/>
        <w:rPr>
          <w:rFonts w:ascii="Bookman Old Style" w:hAnsi="Bookman Old Style"/>
        </w:rPr>
      </w:pPr>
      <w:r w:rsidRPr="00A61011">
        <w:rPr>
          <w:rFonts w:ascii="Bookman Old Style" w:hAnsi="Bookman Old Style"/>
        </w:rPr>
        <w:t xml:space="preserve">elezioni per il rinnovo delle elezioni comunali in alcune sezioni, ove annullate, anche se già indette; </w:t>
      </w:r>
    </w:p>
    <w:p w14:paraId="50BCCF5B" w14:textId="64AFB772" w:rsidR="00A61011" w:rsidRPr="00A61011" w:rsidRDefault="00281577" w:rsidP="00A61011">
      <w:pPr>
        <w:pStyle w:val="Paragrafoelenco"/>
        <w:numPr>
          <w:ilvl w:val="0"/>
          <w:numId w:val="2"/>
        </w:numPr>
        <w:jc w:val="both"/>
        <w:rPr>
          <w:rFonts w:ascii="Bookman Old Style" w:hAnsi="Bookman Old Style"/>
        </w:rPr>
      </w:pPr>
      <w:r w:rsidRPr="00A61011">
        <w:rPr>
          <w:rFonts w:ascii="Bookman Old Style" w:hAnsi="Bookman Old Style"/>
        </w:rPr>
        <w:t xml:space="preserve">elezioni per il rinnovo dei consigli comunali cui debba provvedersi per motivi diversi dalla scadenza del mandato quando le condizioni che rendono necessario il rinnovo si siano verificate entro il 27 luglio 2021; </w:t>
      </w:r>
    </w:p>
    <w:p w14:paraId="50A207C8" w14:textId="2A52C4CE" w:rsidR="00A61011" w:rsidRDefault="00281577" w:rsidP="00A61011">
      <w:pPr>
        <w:pStyle w:val="Paragrafoelenco"/>
        <w:numPr>
          <w:ilvl w:val="0"/>
          <w:numId w:val="2"/>
        </w:numPr>
        <w:jc w:val="both"/>
        <w:rPr>
          <w:rFonts w:ascii="Bookman Old Style" w:hAnsi="Bookman Old Style"/>
        </w:rPr>
      </w:pPr>
      <w:r w:rsidRPr="00A61011">
        <w:rPr>
          <w:rFonts w:ascii="Bookman Old Style" w:hAnsi="Bookman Old Style"/>
        </w:rPr>
        <w:t>elezioni degli organi delle città metropolitane e dei presidenti nelle province e dei consigli provinciali in scadenza nel primo semestre 2021, anche a quelli in scadenza tra luglio e settembre 2021</w:t>
      </w:r>
      <w:r w:rsidR="00A61011">
        <w:rPr>
          <w:rFonts w:ascii="Bookman Old Style" w:hAnsi="Bookman Old Style"/>
        </w:rPr>
        <w:t xml:space="preserve"> (norma introdotta durante l’esame da parte del Senato)</w:t>
      </w:r>
      <w:r w:rsidRPr="00A61011">
        <w:rPr>
          <w:rFonts w:ascii="Bookman Old Style" w:hAnsi="Bookman Old Style"/>
        </w:rPr>
        <w:t>;</w:t>
      </w:r>
    </w:p>
    <w:p w14:paraId="3A941B40" w14:textId="6DB8ACD1" w:rsidR="00844C79" w:rsidRPr="00A61011" w:rsidRDefault="00844C79" w:rsidP="00844C79">
      <w:pPr>
        <w:pStyle w:val="Paragrafoelenco"/>
        <w:numPr>
          <w:ilvl w:val="0"/>
          <w:numId w:val="2"/>
        </w:numPr>
        <w:jc w:val="both"/>
        <w:rPr>
          <w:rFonts w:ascii="Bookman Old Style" w:hAnsi="Bookman Old Style"/>
        </w:rPr>
      </w:pPr>
      <w:r w:rsidRPr="00A61011">
        <w:rPr>
          <w:rFonts w:ascii="Bookman Old Style" w:hAnsi="Bookman Old Style"/>
        </w:rPr>
        <w:t>elezioni degli organi elettivi delle regioni a statuto ordinario anche se già indette e quelle relative agli organi elettivi per i quali entro il 31 luglio 2021 si verificano le condizioni che ne rendono necessario il rinnovo con la proroga della durata del mandato</w:t>
      </w:r>
      <w:r w:rsidR="00870F3E">
        <w:rPr>
          <w:rFonts w:ascii="Bookman Old Style" w:hAnsi="Bookman Old Style"/>
        </w:rPr>
        <w:t>;</w:t>
      </w:r>
    </w:p>
    <w:p w14:paraId="04D28B05" w14:textId="5C9DD8FA" w:rsidR="00844C79" w:rsidRPr="00A61011" w:rsidRDefault="00844C79" w:rsidP="00844C79">
      <w:pPr>
        <w:pStyle w:val="Paragrafoelenco"/>
        <w:numPr>
          <w:ilvl w:val="0"/>
          <w:numId w:val="2"/>
        </w:numPr>
        <w:jc w:val="both"/>
        <w:rPr>
          <w:rFonts w:ascii="Bookman Old Style" w:hAnsi="Bookman Old Style"/>
        </w:rPr>
      </w:pPr>
      <w:r w:rsidRPr="00A61011">
        <w:rPr>
          <w:rFonts w:ascii="Bookman Old Style" w:hAnsi="Bookman Old Style"/>
        </w:rPr>
        <w:lastRenderedPageBreak/>
        <w:t>elezioni suppletive della Camera dei deputati e del Senato della Repubblica per i seggi dichiarati vacanti entro il 31 luglio 2021</w:t>
      </w:r>
      <w:r w:rsidR="00870F3E">
        <w:rPr>
          <w:rFonts w:ascii="Bookman Old Style" w:hAnsi="Bookman Old Style"/>
        </w:rPr>
        <w:t>.</w:t>
      </w:r>
      <w:r w:rsidRPr="00A61011">
        <w:rPr>
          <w:rFonts w:ascii="Bookman Old Style" w:hAnsi="Bookman Old Style"/>
        </w:rPr>
        <w:t xml:space="preserve"> </w:t>
      </w:r>
    </w:p>
    <w:p w14:paraId="4454D094" w14:textId="77777777" w:rsidR="00844C79" w:rsidRPr="00A61011" w:rsidRDefault="00844C79" w:rsidP="00844C79">
      <w:pPr>
        <w:pStyle w:val="Paragrafoelenco"/>
        <w:jc w:val="both"/>
        <w:rPr>
          <w:rFonts w:ascii="Bookman Old Style" w:hAnsi="Bookman Old Style"/>
        </w:rPr>
      </w:pPr>
    </w:p>
    <w:p w14:paraId="04779031" w14:textId="32FB3128" w:rsidR="00A61011" w:rsidRDefault="00A61011" w:rsidP="00A61011">
      <w:pPr>
        <w:rPr>
          <w:rFonts w:ascii="Bookman Old Style" w:hAnsi="Bookman Old Style"/>
        </w:rPr>
      </w:pPr>
      <w:r w:rsidRPr="004B6167">
        <w:rPr>
          <w:rFonts w:ascii="Bookman Old Style" w:hAnsi="Bookman Old Style"/>
          <w:u w:val="single"/>
        </w:rPr>
        <w:t xml:space="preserve">Tra le </w:t>
      </w:r>
      <w:r w:rsidR="00CC146E" w:rsidRPr="004B6167">
        <w:rPr>
          <w:rFonts w:ascii="Bookman Old Style" w:hAnsi="Bookman Old Style"/>
          <w:u w:val="single"/>
        </w:rPr>
        <w:t xml:space="preserve">principali </w:t>
      </w:r>
      <w:r w:rsidRPr="004B6167">
        <w:rPr>
          <w:rFonts w:ascii="Bookman Old Style" w:hAnsi="Bookman Old Style"/>
          <w:u w:val="single"/>
        </w:rPr>
        <w:t>novità</w:t>
      </w:r>
      <w:r w:rsidR="00CC146E" w:rsidRPr="004B6167">
        <w:rPr>
          <w:rFonts w:ascii="Bookman Old Style" w:hAnsi="Bookman Old Style"/>
          <w:u w:val="single"/>
        </w:rPr>
        <w:t xml:space="preserve"> in materia elettorale</w:t>
      </w:r>
      <w:r w:rsidRPr="004B6167">
        <w:rPr>
          <w:rFonts w:ascii="Bookman Old Style" w:hAnsi="Bookman Old Style"/>
          <w:u w:val="single"/>
        </w:rPr>
        <w:t xml:space="preserve"> introdotte </w:t>
      </w:r>
      <w:r w:rsidR="00CC146E" w:rsidRPr="004B6167">
        <w:rPr>
          <w:rFonts w:ascii="Bookman Old Style" w:hAnsi="Bookman Old Style"/>
          <w:u w:val="single"/>
        </w:rPr>
        <w:t>dal provvedimento in commento,</w:t>
      </w:r>
      <w:r w:rsidRPr="004B6167">
        <w:rPr>
          <w:rFonts w:ascii="Bookman Old Style" w:hAnsi="Bookman Old Style"/>
          <w:u w:val="single"/>
        </w:rPr>
        <w:t xml:space="preserve"> si segnalano le seguenti</w:t>
      </w:r>
      <w:r w:rsidRPr="00A61011">
        <w:rPr>
          <w:rFonts w:ascii="Bookman Old Style" w:hAnsi="Bookman Old Style"/>
        </w:rPr>
        <w:t>:</w:t>
      </w:r>
    </w:p>
    <w:p w14:paraId="69998719" w14:textId="77777777" w:rsidR="004B6167" w:rsidRDefault="004B6167" w:rsidP="00A61011">
      <w:pPr>
        <w:rPr>
          <w:rFonts w:ascii="Bookman Old Style" w:hAnsi="Bookman Old Style"/>
        </w:rPr>
      </w:pPr>
    </w:p>
    <w:p w14:paraId="0D850DF9" w14:textId="16A255DE" w:rsidR="00A61011" w:rsidRPr="00281577" w:rsidRDefault="00A61011" w:rsidP="00A17BE7">
      <w:pPr>
        <w:pStyle w:val="Paragrafoelenco"/>
        <w:numPr>
          <w:ilvl w:val="0"/>
          <w:numId w:val="1"/>
        </w:numPr>
        <w:jc w:val="both"/>
        <w:rPr>
          <w:rFonts w:ascii="Bookman Old Style" w:hAnsi="Bookman Old Style"/>
          <w:b/>
          <w:bCs/>
        </w:rPr>
      </w:pPr>
      <w:r w:rsidRPr="00281577">
        <w:rPr>
          <w:rFonts w:ascii="Bookman Old Style" w:hAnsi="Bookman Old Style"/>
          <w:b/>
          <w:bCs/>
        </w:rPr>
        <w:t>Semplificazione in materia di designazione dei rappresentanti di lista nell'ambito delle operazioni elettorali dell'anno 2021</w:t>
      </w:r>
    </w:p>
    <w:p w14:paraId="4475CD1E" w14:textId="41E0B36E" w:rsidR="00A61011" w:rsidRDefault="00A61011" w:rsidP="00A61011">
      <w:pPr>
        <w:jc w:val="both"/>
        <w:rPr>
          <w:rFonts w:ascii="Bookman Old Style" w:hAnsi="Bookman Old Style"/>
        </w:rPr>
      </w:pPr>
      <w:r w:rsidRPr="00281577">
        <w:rPr>
          <w:rFonts w:ascii="Bookman Old Style" w:hAnsi="Bookman Old Style"/>
        </w:rPr>
        <w:t xml:space="preserve">La norma, al fine di assicurare il necessario distanziamento sociale nell'ambito delle operazioni di votazione in questione, consente di presentare l'atto di designazione dei rappresentanti della lista presso gli uffici comunali </w:t>
      </w:r>
      <w:r w:rsidRPr="00281577">
        <w:rPr>
          <w:rFonts w:ascii="Bookman Old Style" w:hAnsi="Bookman Old Style"/>
          <w:b/>
          <w:bCs/>
        </w:rPr>
        <w:t>mediante posta elettronica certificata entro il mercoledì antecedente la votazione</w:t>
      </w:r>
      <w:r w:rsidRPr="00281577">
        <w:rPr>
          <w:rFonts w:ascii="Bookman Old Style" w:hAnsi="Bookman Old Style"/>
        </w:rPr>
        <w:t xml:space="preserve">, in luogo delle altre forme previste dalla legislazione vigente. </w:t>
      </w:r>
    </w:p>
    <w:p w14:paraId="64506BA2" w14:textId="77777777" w:rsidR="004B6167" w:rsidRDefault="004B6167" w:rsidP="00A61011">
      <w:pPr>
        <w:jc w:val="both"/>
        <w:rPr>
          <w:rFonts w:ascii="Bookman Old Style" w:hAnsi="Bookman Old Style"/>
        </w:rPr>
      </w:pPr>
    </w:p>
    <w:p w14:paraId="023F8BA5" w14:textId="4C812008" w:rsidR="00A17BE7" w:rsidRPr="00A17BE7" w:rsidRDefault="00A17BE7" w:rsidP="00CC146E">
      <w:pPr>
        <w:pStyle w:val="Paragrafoelenco"/>
        <w:numPr>
          <w:ilvl w:val="0"/>
          <w:numId w:val="1"/>
        </w:numPr>
        <w:jc w:val="both"/>
        <w:rPr>
          <w:rFonts w:ascii="Bookman Old Style" w:hAnsi="Bookman Old Style"/>
          <w:b/>
          <w:bCs/>
        </w:rPr>
      </w:pPr>
      <w:r>
        <w:rPr>
          <w:rFonts w:ascii="Bookman Old Style" w:hAnsi="Bookman Old Style"/>
          <w:b/>
          <w:bCs/>
        </w:rPr>
        <w:t>I</w:t>
      </w:r>
      <w:r w:rsidR="00281577" w:rsidRPr="00A17BE7">
        <w:rPr>
          <w:rFonts w:ascii="Bookman Old Style" w:hAnsi="Bookman Old Style"/>
          <w:b/>
          <w:bCs/>
        </w:rPr>
        <w:t xml:space="preserve">ntroduzione di disposizioni speciali in materia di quorum di validità per le elezioni del sindaco e del consiglio comunale per il 2021 nei comuni fino a 15.000 abitanti </w:t>
      </w:r>
    </w:p>
    <w:p w14:paraId="352A83AD" w14:textId="10C0C1AB" w:rsidR="00A17BE7" w:rsidRDefault="00A17BE7" w:rsidP="00A17BE7">
      <w:pPr>
        <w:jc w:val="both"/>
        <w:rPr>
          <w:rFonts w:ascii="Bookman Old Style" w:hAnsi="Bookman Old Style"/>
        </w:rPr>
      </w:pPr>
      <w:r>
        <w:rPr>
          <w:rFonts w:ascii="Bookman Old Style" w:hAnsi="Bookman Old Style"/>
        </w:rPr>
        <w:t>La norma dispone</w:t>
      </w:r>
      <w:r w:rsidRPr="00281577">
        <w:rPr>
          <w:rFonts w:ascii="Bookman Old Style" w:hAnsi="Bookman Old Style"/>
        </w:rPr>
        <w:t xml:space="preserve"> che per l’elezione del sindaco e del consiglio comunale nei comuni sino a 15.000 abitanti, </w:t>
      </w:r>
      <w:r w:rsidRPr="00A17BE7">
        <w:rPr>
          <w:rFonts w:ascii="Bookman Old Style" w:hAnsi="Bookman Old Style"/>
          <w:b/>
          <w:bCs/>
        </w:rPr>
        <w:t>ove sia stata ammessa e votata una sola lista</w:t>
      </w:r>
      <w:r w:rsidRPr="00281577">
        <w:rPr>
          <w:rFonts w:ascii="Bookman Old Style" w:hAnsi="Bookman Old Style"/>
        </w:rPr>
        <w:t xml:space="preserve">, sono eletti tutti i candidati compresi nella lista ed il candidato a sindaco collegato, a </w:t>
      </w:r>
      <w:r w:rsidR="00F014E1">
        <w:rPr>
          <w:rFonts w:ascii="Bookman Old Style" w:hAnsi="Bookman Old Style"/>
        </w:rPr>
        <w:t>condizione</w:t>
      </w:r>
      <w:r w:rsidR="000B4C21">
        <w:rPr>
          <w:rFonts w:ascii="Bookman Old Style" w:hAnsi="Bookman Old Style"/>
        </w:rPr>
        <w:t>:</w:t>
      </w:r>
      <w:r w:rsidRPr="00281577">
        <w:rPr>
          <w:rFonts w:ascii="Bookman Old Style" w:hAnsi="Bookman Old Style"/>
        </w:rPr>
        <w:t xml:space="preserve"> </w:t>
      </w:r>
    </w:p>
    <w:p w14:paraId="180C56DD" w14:textId="3444BD67" w:rsidR="00A17BE7" w:rsidRDefault="00A17BE7" w:rsidP="00A17BE7">
      <w:pPr>
        <w:jc w:val="both"/>
        <w:rPr>
          <w:rFonts w:ascii="Bookman Old Style" w:hAnsi="Bookman Old Style"/>
        </w:rPr>
      </w:pPr>
      <w:r w:rsidRPr="00281577">
        <w:rPr>
          <w:rFonts w:ascii="Bookman Old Style" w:hAnsi="Bookman Old Style"/>
        </w:rPr>
        <w:t xml:space="preserve">1) che la stessa lista abbia riportato un numero di voti validi non inferiore al 50 per cento dei votanti; </w:t>
      </w:r>
    </w:p>
    <w:p w14:paraId="6E47A5EA" w14:textId="490DCE30" w:rsidR="00A17BE7" w:rsidRDefault="00A17BE7" w:rsidP="00A17BE7">
      <w:pPr>
        <w:jc w:val="both"/>
        <w:rPr>
          <w:rFonts w:ascii="Bookman Old Style" w:hAnsi="Bookman Old Style"/>
        </w:rPr>
      </w:pPr>
      <w:r w:rsidRPr="00281577">
        <w:rPr>
          <w:rFonts w:ascii="Bookman Old Style" w:hAnsi="Bookman Old Style"/>
        </w:rPr>
        <w:t>2) che il numero dei votanti non sia stato inferiore al 40 per cento degli elettori iscritti nelle liste elettorali del comune</w:t>
      </w:r>
      <w:r w:rsidR="00BE6D78">
        <w:rPr>
          <w:rFonts w:ascii="Bookman Old Style" w:hAnsi="Bookman Old Style"/>
        </w:rPr>
        <w:t>.</w:t>
      </w:r>
      <w:r w:rsidRPr="00281577">
        <w:rPr>
          <w:rFonts w:ascii="Bookman Old Style" w:hAnsi="Bookman Old Style"/>
        </w:rPr>
        <w:t xml:space="preserve"> </w:t>
      </w:r>
    </w:p>
    <w:p w14:paraId="418285AF" w14:textId="2C6D0AE4" w:rsidR="00A17BE7" w:rsidRPr="00281577" w:rsidRDefault="00A17BE7" w:rsidP="00A17BE7">
      <w:pPr>
        <w:jc w:val="both"/>
        <w:rPr>
          <w:rFonts w:ascii="Bookman Old Style" w:hAnsi="Bookman Old Style"/>
        </w:rPr>
      </w:pPr>
      <w:r w:rsidRPr="00281577">
        <w:rPr>
          <w:rFonts w:ascii="Bookman Old Style" w:hAnsi="Bookman Old Style"/>
        </w:rPr>
        <w:t>Qualora non siano rispettate le due percentuali, in analogia a quanto disposto dalla citata disposizione del TUEL, l'elezione è nulla.</w:t>
      </w:r>
    </w:p>
    <w:p w14:paraId="3857FBE9" w14:textId="4CF7B8E6" w:rsidR="00BE6D78" w:rsidRPr="00281577" w:rsidRDefault="0055532D" w:rsidP="00BE6D78">
      <w:pPr>
        <w:jc w:val="both"/>
        <w:rPr>
          <w:rFonts w:ascii="Bookman Old Style" w:hAnsi="Bookman Old Style"/>
        </w:rPr>
      </w:pPr>
      <w:r>
        <w:rPr>
          <w:rFonts w:ascii="Bookman Old Style" w:hAnsi="Bookman Old Style"/>
        </w:rPr>
        <w:t>Inoltre si stabilisce che</w:t>
      </w:r>
      <w:r w:rsidR="00BE6D78" w:rsidRPr="00281577">
        <w:rPr>
          <w:rFonts w:ascii="Bookman Old Style" w:hAnsi="Bookman Old Style"/>
        </w:rPr>
        <w:t xml:space="preserve"> per l’elezione del sindaco e del consiglio comunale nei comuni sino a 15.000 abitanti, in deroga a quanto previsto dall'articolo 71, comma 10</w:t>
      </w:r>
      <w:r w:rsidR="00CC146E">
        <w:rPr>
          <w:rFonts w:ascii="Bookman Old Style" w:hAnsi="Bookman Old Style"/>
        </w:rPr>
        <w:t>,</w:t>
      </w:r>
      <w:r w:rsidR="00BE6D78" w:rsidRPr="00281577">
        <w:rPr>
          <w:rFonts w:ascii="Bookman Old Style" w:hAnsi="Bookman Old Style"/>
        </w:rPr>
        <w:t xml:space="preserve"> del decreto legislativo 18 agosto 2000, n. 267, per la determinazione del numero degli elettori iscritti nelle liste elettorali del comune </w:t>
      </w:r>
      <w:r w:rsidR="00BE6D78" w:rsidRPr="0055532D">
        <w:rPr>
          <w:rFonts w:ascii="Bookman Old Style" w:hAnsi="Bookman Old Style"/>
          <w:b/>
          <w:bCs/>
        </w:rPr>
        <w:t>non si tiene conto degli elettori iscritti all’Anagrafe degli Italiani Residenti all’Estero (A.I.R.E.) che non esercitano il diritto di voto</w:t>
      </w:r>
      <w:r w:rsidR="00BE6D78" w:rsidRPr="00281577">
        <w:rPr>
          <w:rFonts w:ascii="Bookman Old Style" w:hAnsi="Bookman Old Style"/>
        </w:rPr>
        <w:t>. La disposizione scomputa gli elettori iscritti all'Aire ai fini della determinazione del quorum strutturale cui è subordinata la validità delle elezioni nei comuni con meno di 15.000 elettori in cui sia stata ammessa e votata una sola lista.</w:t>
      </w:r>
    </w:p>
    <w:p w14:paraId="0700843A" w14:textId="7C3E1C89" w:rsidR="00BE6D78" w:rsidRDefault="0076479E" w:rsidP="00BE6D78">
      <w:pPr>
        <w:jc w:val="both"/>
        <w:rPr>
          <w:rFonts w:ascii="Bookman Old Style" w:hAnsi="Bookman Old Style"/>
        </w:rPr>
      </w:pPr>
      <w:r>
        <w:rPr>
          <w:rFonts w:ascii="Bookman Old Style" w:hAnsi="Bookman Old Style"/>
        </w:rPr>
        <w:t>Si tratta di una novità importante in quanto l</w:t>
      </w:r>
      <w:r w:rsidR="00BE6D78" w:rsidRPr="00281577">
        <w:rPr>
          <w:rFonts w:ascii="Bookman Old Style" w:hAnsi="Bookman Old Style"/>
        </w:rPr>
        <w:t xml:space="preserve">'inclusione nelle liste elettorali di cittadini residenti all'estero </w:t>
      </w:r>
      <w:r w:rsidR="00BE6D78" w:rsidRPr="0076479E">
        <w:rPr>
          <w:rFonts w:ascii="Bookman Old Style" w:hAnsi="Bookman Old Style"/>
        </w:rPr>
        <w:t>fa sì che, specie nei comuni di minori dimensioni e con alto tasso di emigrazione, si renda arduo il raggiungimento del quorum strutturale richiesto per la validità delle elezioni amministrative, con conseguente nullità della procedura elettorale.</w:t>
      </w:r>
    </w:p>
    <w:p w14:paraId="75D9A92E" w14:textId="77777777" w:rsidR="004B6167" w:rsidRPr="0076479E" w:rsidRDefault="004B6167" w:rsidP="00BE6D78">
      <w:pPr>
        <w:jc w:val="both"/>
        <w:rPr>
          <w:rFonts w:ascii="Bookman Old Style" w:hAnsi="Bookman Old Style"/>
        </w:rPr>
      </w:pPr>
    </w:p>
    <w:p w14:paraId="45E44417" w14:textId="13800332" w:rsidR="00821A28" w:rsidRPr="00821A28" w:rsidRDefault="00821A28" w:rsidP="00821A28">
      <w:pPr>
        <w:pStyle w:val="Paragrafoelenco"/>
        <w:numPr>
          <w:ilvl w:val="0"/>
          <w:numId w:val="1"/>
        </w:numPr>
        <w:jc w:val="both"/>
        <w:rPr>
          <w:rFonts w:ascii="Bookman Old Style" w:hAnsi="Bookman Old Style"/>
          <w:b/>
          <w:bCs/>
        </w:rPr>
      </w:pPr>
      <w:r w:rsidRPr="00821A28">
        <w:rPr>
          <w:rFonts w:ascii="Bookman Old Style" w:hAnsi="Bookman Old Style"/>
          <w:b/>
          <w:bCs/>
        </w:rPr>
        <w:t>Ampliamento degli orari di apertura degli uffici del casellario giudiziario in occasione delle competizioni elettorali 2021</w:t>
      </w:r>
    </w:p>
    <w:p w14:paraId="1F127D15" w14:textId="525B3125" w:rsidR="00825FD9" w:rsidRPr="00281577" w:rsidRDefault="008B2A4F" w:rsidP="00825FD9">
      <w:pPr>
        <w:jc w:val="both"/>
        <w:rPr>
          <w:rFonts w:ascii="Bookman Old Style" w:hAnsi="Bookman Old Style"/>
        </w:rPr>
      </w:pPr>
      <w:r>
        <w:rPr>
          <w:rFonts w:ascii="Bookman Old Style" w:hAnsi="Bookman Old Style"/>
        </w:rPr>
        <w:lastRenderedPageBreak/>
        <w:t>La norma</w:t>
      </w:r>
      <w:r w:rsidR="00825FD9" w:rsidRPr="00281577">
        <w:rPr>
          <w:rFonts w:ascii="Bookman Old Style" w:hAnsi="Bookman Old Style"/>
        </w:rPr>
        <w:t xml:space="preserve"> prevede</w:t>
      </w:r>
      <w:r w:rsidR="00C05F7D">
        <w:rPr>
          <w:rFonts w:ascii="Bookman Old Style" w:hAnsi="Bookman Old Style"/>
        </w:rPr>
        <w:t>,</w:t>
      </w:r>
      <w:r w:rsidR="00825FD9" w:rsidRPr="00281577">
        <w:rPr>
          <w:rFonts w:ascii="Bookman Old Style" w:hAnsi="Bookman Old Style"/>
        </w:rPr>
        <w:t xml:space="preserve"> </w:t>
      </w:r>
      <w:r w:rsidR="00C05F7D">
        <w:rPr>
          <w:rFonts w:ascii="Bookman Old Style" w:hAnsi="Bookman Old Style"/>
        </w:rPr>
        <w:t>al</w:t>
      </w:r>
      <w:r w:rsidR="00825FD9" w:rsidRPr="00281577">
        <w:rPr>
          <w:rFonts w:ascii="Bookman Old Style" w:hAnsi="Bookman Old Style"/>
        </w:rPr>
        <w:t xml:space="preserve"> fine di consentire la pubblicazione del certificato del casellario giudiziale dei candidati per le consultazioni elettorali dell'anno 2021, </w:t>
      </w:r>
      <w:r w:rsidR="00C05F7D">
        <w:rPr>
          <w:rFonts w:ascii="Bookman Old Style" w:hAnsi="Bookman Old Style"/>
        </w:rPr>
        <w:t xml:space="preserve">che </w:t>
      </w:r>
      <w:r w:rsidR="00825FD9" w:rsidRPr="00281577">
        <w:rPr>
          <w:rFonts w:ascii="Bookman Old Style" w:hAnsi="Bookman Old Style"/>
        </w:rPr>
        <w:t xml:space="preserve">il Ministero della Giustizia </w:t>
      </w:r>
      <w:r w:rsidR="00821A28">
        <w:rPr>
          <w:rFonts w:ascii="Bookman Old Style" w:hAnsi="Bookman Old Style"/>
        </w:rPr>
        <w:t>garantisca</w:t>
      </w:r>
      <w:r w:rsidR="00825FD9" w:rsidRPr="00281577">
        <w:rPr>
          <w:rFonts w:ascii="Bookman Old Style" w:hAnsi="Bookman Old Style"/>
        </w:rPr>
        <w:t xml:space="preserve"> l'apertura degli Uffici del casellario giudiziario della Procura delle Repubblica presso il Tribunale che ha sede nel capoluogo di ciascun distretto di Corte di Appello nei giorni prefestivo e festivo immediatamente precedenti al termine della predetta pubblicazione.</w:t>
      </w:r>
    </w:p>
    <w:p w14:paraId="7F3E9621" w14:textId="77777777" w:rsidR="00825FD9" w:rsidRDefault="00825FD9">
      <w:pPr>
        <w:rPr>
          <w:rFonts w:ascii="Bookman Old Style" w:hAnsi="Bookman Old Style"/>
        </w:rPr>
      </w:pPr>
    </w:p>
    <w:p w14:paraId="14FCCE49" w14:textId="3C5001D2" w:rsidR="00A17BE7" w:rsidRPr="00813B71" w:rsidRDefault="00E90A86" w:rsidP="00ED1D90">
      <w:pPr>
        <w:pStyle w:val="Paragrafoelenco"/>
        <w:numPr>
          <w:ilvl w:val="0"/>
          <w:numId w:val="1"/>
        </w:numPr>
        <w:jc w:val="both"/>
        <w:rPr>
          <w:rFonts w:ascii="Bookman Old Style" w:hAnsi="Bookman Old Style"/>
          <w:b/>
          <w:bCs/>
        </w:rPr>
      </w:pPr>
      <w:r>
        <w:rPr>
          <w:rFonts w:ascii="Bookman Old Style" w:hAnsi="Bookman Old Style"/>
          <w:b/>
          <w:bCs/>
        </w:rPr>
        <w:t xml:space="preserve">Esclusione </w:t>
      </w:r>
      <w:r w:rsidR="00ED1D90">
        <w:rPr>
          <w:rFonts w:ascii="Bookman Old Style" w:hAnsi="Bookman Old Style"/>
          <w:b/>
          <w:bCs/>
        </w:rPr>
        <w:t>di sanzioni</w:t>
      </w:r>
      <w:r w:rsidR="007D0F02" w:rsidRPr="00813B71">
        <w:rPr>
          <w:rFonts w:ascii="Bookman Old Style" w:hAnsi="Bookman Old Style"/>
          <w:b/>
          <w:bCs/>
        </w:rPr>
        <w:t xml:space="preserve"> </w:t>
      </w:r>
      <w:r w:rsidR="00821A28" w:rsidRPr="00813B71">
        <w:rPr>
          <w:rFonts w:ascii="Bookman Old Style" w:hAnsi="Bookman Old Style"/>
          <w:b/>
          <w:bCs/>
        </w:rPr>
        <w:t xml:space="preserve">per l’anno 2021 per </w:t>
      </w:r>
      <w:r w:rsidR="0009074F" w:rsidRPr="00813B71">
        <w:rPr>
          <w:rFonts w:ascii="Bookman Old Style" w:hAnsi="Bookman Old Style"/>
          <w:b/>
          <w:bCs/>
        </w:rPr>
        <w:t>la mancata redazione della relazione di fine mandato del sindaco</w:t>
      </w:r>
    </w:p>
    <w:p w14:paraId="4C8E8C4D" w14:textId="0C27E4FF" w:rsidR="00281577" w:rsidRPr="00AD755C" w:rsidRDefault="00813B71" w:rsidP="00281577">
      <w:pPr>
        <w:jc w:val="both"/>
        <w:rPr>
          <w:rFonts w:ascii="Bookman Old Style" w:hAnsi="Bookman Old Style"/>
        </w:rPr>
      </w:pPr>
      <w:r>
        <w:rPr>
          <w:rFonts w:ascii="Bookman Old Style" w:hAnsi="Bookman Old Style"/>
        </w:rPr>
        <w:t>La norma</w:t>
      </w:r>
      <w:r w:rsidR="00EC1AD3">
        <w:rPr>
          <w:rFonts w:ascii="Bookman Old Style" w:hAnsi="Bookman Old Style"/>
        </w:rPr>
        <w:t xml:space="preserve">, richiesta dall’ANCI, </w:t>
      </w:r>
      <w:r>
        <w:rPr>
          <w:rFonts w:ascii="Bookman Old Style" w:hAnsi="Bookman Old Style"/>
        </w:rPr>
        <w:t xml:space="preserve"> prevede che </w:t>
      </w:r>
      <w:r w:rsidR="00281577" w:rsidRPr="00E90A86">
        <w:rPr>
          <w:rFonts w:ascii="Bookman Old Style" w:hAnsi="Bookman Old Style"/>
          <w:b/>
          <w:bCs/>
        </w:rPr>
        <w:t>non s</w:t>
      </w:r>
      <w:r w:rsidR="00F36192" w:rsidRPr="00E90A86">
        <w:rPr>
          <w:rFonts w:ascii="Bookman Old Style" w:hAnsi="Bookman Old Style"/>
          <w:b/>
          <w:bCs/>
        </w:rPr>
        <w:t>iano applicate</w:t>
      </w:r>
      <w:r w:rsidR="00281577" w:rsidRPr="00E90A86">
        <w:rPr>
          <w:rFonts w:ascii="Bookman Old Style" w:hAnsi="Bookman Old Style"/>
          <w:b/>
          <w:bCs/>
        </w:rPr>
        <w:t xml:space="preserve"> le sanzioni per mancato adempimento all'obbligo di redazione e di pubblicazione della relazione di fine mandato del sindaco</w:t>
      </w:r>
      <w:r w:rsidR="00281577" w:rsidRPr="00281577">
        <w:rPr>
          <w:rFonts w:ascii="Bookman Old Style" w:hAnsi="Bookman Old Style"/>
        </w:rPr>
        <w:t xml:space="preserve">, </w:t>
      </w:r>
      <w:r w:rsidR="00ED1D90" w:rsidRPr="00AD755C">
        <w:rPr>
          <w:rFonts w:ascii="Bookman Old Style" w:hAnsi="Bookman Old Style"/>
        </w:rPr>
        <w:t>(</w:t>
      </w:r>
      <w:r w:rsidR="00AD755C">
        <w:rPr>
          <w:rFonts w:ascii="Bookman Old Style" w:hAnsi="Bookman Old Style"/>
        </w:rPr>
        <w:t xml:space="preserve">ai </w:t>
      </w:r>
      <w:r w:rsidR="00AD755C" w:rsidRPr="00AD755C">
        <w:rPr>
          <w:rFonts w:ascii="Bookman Old Style" w:hAnsi="Bookman Old Style"/>
        </w:rPr>
        <w:t>sensi del comma 6 dell'articolo 4 del decreto legislativo 6 settembre 2011, n. 149</w:t>
      </w:r>
      <w:r w:rsidR="00ED1D90" w:rsidRPr="00AD755C">
        <w:rPr>
          <w:rFonts w:ascii="Bookman Old Style" w:hAnsi="Bookman Old Style"/>
        </w:rPr>
        <w:t>)</w:t>
      </w:r>
      <w:r w:rsidR="00281577" w:rsidRPr="00AD755C">
        <w:rPr>
          <w:rFonts w:ascii="Bookman Old Style" w:hAnsi="Bookman Old Style"/>
        </w:rPr>
        <w:t>.</w:t>
      </w:r>
    </w:p>
    <w:p w14:paraId="632818F7" w14:textId="792737B6" w:rsidR="00281577" w:rsidRPr="00ED1D90" w:rsidRDefault="004B6167" w:rsidP="00281577">
      <w:pPr>
        <w:jc w:val="both"/>
        <w:rPr>
          <w:rFonts w:ascii="Bookman Old Style" w:hAnsi="Bookman Old Style"/>
        </w:rPr>
      </w:pPr>
      <w:r>
        <w:rPr>
          <w:rFonts w:ascii="Bookman Old Style" w:hAnsi="Bookman Old Style"/>
        </w:rPr>
        <w:t>L’articolo 4, comma 6</w:t>
      </w:r>
      <w:r w:rsidR="00CC146E">
        <w:rPr>
          <w:rFonts w:ascii="Bookman Old Style" w:hAnsi="Bookman Old Style"/>
        </w:rPr>
        <w:t>,</w:t>
      </w:r>
      <w:r w:rsidR="00046D4E" w:rsidRPr="00ED1D90">
        <w:rPr>
          <w:rFonts w:ascii="Bookman Old Style" w:hAnsi="Bookman Old Style"/>
        </w:rPr>
        <w:t xml:space="preserve"> infatti</w:t>
      </w:r>
      <w:r w:rsidR="00CC146E">
        <w:rPr>
          <w:rFonts w:ascii="Bookman Old Style" w:hAnsi="Bookman Old Style"/>
        </w:rPr>
        <w:t>,</w:t>
      </w:r>
      <w:r w:rsidR="00046D4E" w:rsidRPr="00ED1D90">
        <w:rPr>
          <w:rFonts w:ascii="Bookman Old Style" w:hAnsi="Bookman Old Style"/>
        </w:rPr>
        <w:t xml:space="preserve"> stabilisce che</w:t>
      </w:r>
      <w:r w:rsidR="00281577" w:rsidRPr="00ED1D90">
        <w:rPr>
          <w:rFonts w:ascii="Bookman Old Style" w:hAnsi="Bookman Old Style"/>
        </w:rPr>
        <w:t xml:space="preserve">, in caso di mancato adempimento dell'obbligo di redazione e di pubblicazione nel sito istituzionale dell'ente della relazione di fine mandato, al sindaco e, qualora non abbia predisposto la relazione, al responsabile del servizio finanziario del comune o al segretario generale </w:t>
      </w:r>
      <w:r w:rsidR="00ED1D90" w:rsidRPr="00ED1D90">
        <w:rPr>
          <w:rFonts w:ascii="Bookman Old Style" w:hAnsi="Bookman Old Style"/>
        </w:rPr>
        <w:t>sia</w:t>
      </w:r>
      <w:r w:rsidR="00281577" w:rsidRPr="00ED1D90">
        <w:rPr>
          <w:rFonts w:ascii="Bookman Old Style" w:hAnsi="Bookman Old Style"/>
        </w:rPr>
        <w:t xml:space="preserve"> ridotto della metà, con riferimento alle tre successive mensilità, rispettivamente, l'importo dell'indennità di mandato e degli emolumenti. Il sindaco è, inoltre, tenuto a dare notizia della mancata pubblicazione della relazione e a motivarne le ragioni, nella pagina principale del sito istituzionale dell'ente.</w:t>
      </w:r>
    </w:p>
    <w:sectPr w:rsidR="00281577" w:rsidRPr="00ED1D9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2BD6" w14:textId="77777777" w:rsidR="00CA3DA4" w:rsidRDefault="00CA3DA4" w:rsidP="00CC146E">
      <w:pPr>
        <w:spacing w:after="0" w:line="240" w:lineRule="auto"/>
      </w:pPr>
      <w:r>
        <w:separator/>
      </w:r>
    </w:p>
  </w:endnote>
  <w:endnote w:type="continuationSeparator" w:id="0">
    <w:p w14:paraId="6E2BD3C1" w14:textId="77777777" w:rsidR="00CA3DA4" w:rsidRDefault="00CA3DA4" w:rsidP="00CC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47105"/>
      <w:docPartObj>
        <w:docPartGallery w:val="Page Numbers (Bottom of Page)"/>
        <w:docPartUnique/>
      </w:docPartObj>
    </w:sdtPr>
    <w:sdtEndPr>
      <w:rPr>
        <w:rFonts w:ascii="Bookman Old Style" w:hAnsi="Bookman Old Style"/>
        <w:sz w:val="18"/>
        <w:szCs w:val="18"/>
      </w:rPr>
    </w:sdtEndPr>
    <w:sdtContent>
      <w:p w14:paraId="4FD38301" w14:textId="6FE3E88F" w:rsidR="00CC146E" w:rsidRPr="00CC146E" w:rsidRDefault="00CC146E">
        <w:pPr>
          <w:pStyle w:val="Pidipagina"/>
          <w:jc w:val="center"/>
          <w:rPr>
            <w:rFonts w:ascii="Bookman Old Style" w:hAnsi="Bookman Old Style"/>
            <w:sz w:val="18"/>
            <w:szCs w:val="18"/>
          </w:rPr>
        </w:pPr>
        <w:r w:rsidRPr="00CC146E">
          <w:rPr>
            <w:rFonts w:ascii="Bookman Old Style" w:hAnsi="Bookman Old Style"/>
            <w:sz w:val="18"/>
            <w:szCs w:val="18"/>
          </w:rPr>
          <w:fldChar w:fldCharType="begin"/>
        </w:r>
        <w:r w:rsidRPr="00CC146E">
          <w:rPr>
            <w:rFonts w:ascii="Bookman Old Style" w:hAnsi="Bookman Old Style"/>
            <w:sz w:val="18"/>
            <w:szCs w:val="18"/>
          </w:rPr>
          <w:instrText>PAGE   \* MERGEFORMAT</w:instrText>
        </w:r>
        <w:r w:rsidRPr="00CC146E">
          <w:rPr>
            <w:rFonts w:ascii="Bookman Old Style" w:hAnsi="Bookman Old Style"/>
            <w:sz w:val="18"/>
            <w:szCs w:val="18"/>
          </w:rPr>
          <w:fldChar w:fldCharType="separate"/>
        </w:r>
        <w:r w:rsidRPr="00CC146E">
          <w:rPr>
            <w:rFonts w:ascii="Bookman Old Style" w:hAnsi="Bookman Old Style"/>
            <w:sz w:val="18"/>
            <w:szCs w:val="18"/>
          </w:rPr>
          <w:t>2</w:t>
        </w:r>
        <w:r w:rsidRPr="00CC146E">
          <w:rPr>
            <w:rFonts w:ascii="Bookman Old Style" w:hAnsi="Bookman Old Style"/>
            <w:sz w:val="18"/>
            <w:szCs w:val="18"/>
          </w:rPr>
          <w:fldChar w:fldCharType="end"/>
        </w:r>
      </w:p>
    </w:sdtContent>
  </w:sdt>
  <w:p w14:paraId="26D1AD0A" w14:textId="77777777" w:rsidR="00CC146E" w:rsidRDefault="00CC14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9A9E" w14:textId="77777777" w:rsidR="00CA3DA4" w:rsidRDefault="00CA3DA4" w:rsidP="00CC146E">
      <w:pPr>
        <w:spacing w:after="0" w:line="240" w:lineRule="auto"/>
      </w:pPr>
      <w:r>
        <w:separator/>
      </w:r>
    </w:p>
  </w:footnote>
  <w:footnote w:type="continuationSeparator" w:id="0">
    <w:p w14:paraId="70393772" w14:textId="77777777" w:rsidR="00CA3DA4" w:rsidRDefault="00CA3DA4" w:rsidP="00CC1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13D0"/>
    <w:multiLevelType w:val="hybridMultilevel"/>
    <w:tmpl w:val="CCA8DF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0117F2"/>
    <w:multiLevelType w:val="hybridMultilevel"/>
    <w:tmpl w:val="87D0E0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21209E"/>
    <w:multiLevelType w:val="hybridMultilevel"/>
    <w:tmpl w:val="FF88D2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966A64"/>
    <w:multiLevelType w:val="hybridMultilevel"/>
    <w:tmpl w:val="12AEE206"/>
    <w:lvl w:ilvl="0" w:tplc="26EA52A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77"/>
    <w:rsid w:val="00046D4E"/>
    <w:rsid w:val="0009074F"/>
    <w:rsid w:val="00091177"/>
    <w:rsid w:val="000B4C21"/>
    <w:rsid w:val="00180192"/>
    <w:rsid w:val="001D3B00"/>
    <w:rsid w:val="00206870"/>
    <w:rsid w:val="002513D5"/>
    <w:rsid w:val="00281577"/>
    <w:rsid w:val="002A0B2A"/>
    <w:rsid w:val="00352352"/>
    <w:rsid w:val="00406CA3"/>
    <w:rsid w:val="00461ABD"/>
    <w:rsid w:val="004B6167"/>
    <w:rsid w:val="0055532D"/>
    <w:rsid w:val="005D2490"/>
    <w:rsid w:val="006E7459"/>
    <w:rsid w:val="0076479E"/>
    <w:rsid w:val="00796189"/>
    <w:rsid w:val="007C7AD0"/>
    <w:rsid w:val="007D0F02"/>
    <w:rsid w:val="007F74BD"/>
    <w:rsid w:val="00813B71"/>
    <w:rsid w:val="00821A28"/>
    <w:rsid w:val="00825FD9"/>
    <w:rsid w:val="00844C79"/>
    <w:rsid w:val="00870F3E"/>
    <w:rsid w:val="008B0CF9"/>
    <w:rsid w:val="008B2A4F"/>
    <w:rsid w:val="008B6C2E"/>
    <w:rsid w:val="009216FE"/>
    <w:rsid w:val="009B588D"/>
    <w:rsid w:val="00A17BE7"/>
    <w:rsid w:val="00A61011"/>
    <w:rsid w:val="00AD755C"/>
    <w:rsid w:val="00AF1C03"/>
    <w:rsid w:val="00BE6D78"/>
    <w:rsid w:val="00C05F7D"/>
    <w:rsid w:val="00C76452"/>
    <w:rsid w:val="00CA3DA4"/>
    <w:rsid w:val="00CC146E"/>
    <w:rsid w:val="00E90A86"/>
    <w:rsid w:val="00EC1AD3"/>
    <w:rsid w:val="00ED1D90"/>
    <w:rsid w:val="00EE39B2"/>
    <w:rsid w:val="00F014E1"/>
    <w:rsid w:val="00F36192"/>
    <w:rsid w:val="00F76A86"/>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D141"/>
  <w15:chartTrackingRefBased/>
  <w15:docId w15:val="{EFEC237E-537E-40D4-896C-F2372AD9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1577"/>
    <w:pPr>
      <w:ind w:left="720"/>
      <w:contextualSpacing/>
    </w:pPr>
  </w:style>
  <w:style w:type="paragraph" w:styleId="Intestazione">
    <w:name w:val="header"/>
    <w:basedOn w:val="Normale"/>
    <w:link w:val="IntestazioneCarattere"/>
    <w:uiPriority w:val="99"/>
    <w:unhideWhenUsed/>
    <w:rsid w:val="00CC146E"/>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CC146E"/>
  </w:style>
  <w:style w:type="paragraph" w:styleId="Pidipagina">
    <w:name w:val="footer"/>
    <w:basedOn w:val="Normale"/>
    <w:link w:val="PidipaginaCarattere"/>
    <w:uiPriority w:val="99"/>
    <w:unhideWhenUsed/>
    <w:rsid w:val="00CC146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CC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Milena Cocchi</cp:lastModifiedBy>
  <cp:revision>2</cp:revision>
  <dcterms:created xsi:type="dcterms:W3CDTF">2021-04-30T06:53:00Z</dcterms:created>
  <dcterms:modified xsi:type="dcterms:W3CDTF">2021-04-30T06:53:00Z</dcterms:modified>
</cp:coreProperties>
</file>