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9227" w14:textId="77777777" w:rsidR="000C2976" w:rsidRPr="00256942" w:rsidRDefault="000C2976" w:rsidP="000C2976">
      <w:pPr>
        <w:pStyle w:val="Titolo1"/>
        <w:jc w:val="center"/>
        <w:rPr>
          <w:rFonts w:ascii="Bookman Old Style" w:hAnsi="Bookman Old Style"/>
        </w:rPr>
      </w:pPr>
      <w:r w:rsidRPr="00256942">
        <w:rPr>
          <w:rFonts w:ascii="Bookman Old Style" w:hAnsi="Bookman Old Style"/>
          <w:noProof/>
        </w:rPr>
        <w:drawing>
          <wp:inline distT="0" distB="0" distL="0" distR="0" wp14:anchorId="5E3F7D52" wp14:editId="44B7A9A0">
            <wp:extent cx="534035" cy="780512"/>
            <wp:effectExtent l="0" t="0" r="0" b="635"/>
            <wp:docPr id="1" name="Immagine 1" descr="Immagine che contiene linea, Carattere, diagramma, Rettang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inea, Carattere, diagramma, Rettang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40" cy="7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6AE5E" w14:textId="77777777" w:rsidR="000C2976" w:rsidRPr="00256942" w:rsidRDefault="000C2976" w:rsidP="000C2976">
      <w:pPr>
        <w:pStyle w:val="Titolo1"/>
        <w:jc w:val="center"/>
        <w:rPr>
          <w:rFonts w:ascii="Bookman Old Style" w:hAnsi="Bookman Old Style"/>
          <w:b/>
          <w:bCs/>
          <w:color w:val="000000" w:themeColor="text1"/>
          <w:sz w:val="36"/>
          <w:szCs w:val="36"/>
        </w:rPr>
      </w:pPr>
      <w:r w:rsidRPr="00256942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DOSSIER DATI</w:t>
      </w:r>
    </w:p>
    <w:p w14:paraId="69BC41EF" w14:textId="6CB8F1D7" w:rsidR="000C2976" w:rsidRPr="00256942" w:rsidRDefault="000C2976" w:rsidP="000C2976">
      <w:pPr>
        <w:pStyle w:val="Titolo1"/>
        <w:jc w:val="center"/>
        <w:rPr>
          <w:rFonts w:ascii="Bookman Old Style" w:hAnsi="Bookman Old Style"/>
          <w:b/>
          <w:bCs/>
          <w:color w:val="000000" w:themeColor="text1"/>
          <w:sz w:val="36"/>
          <w:szCs w:val="36"/>
        </w:rPr>
      </w:pPr>
      <w:r w:rsidRPr="00256942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Donne in Comune</w:t>
      </w:r>
    </w:p>
    <w:p w14:paraId="763A5C57" w14:textId="77777777" w:rsidR="000C2976" w:rsidRPr="00256942" w:rsidRDefault="000C2976" w:rsidP="000C297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56942">
        <w:rPr>
          <w:rFonts w:ascii="Bookman Old Style" w:hAnsi="Bookman Old Style"/>
          <w:i/>
          <w:iCs/>
          <w:sz w:val="24"/>
          <w:szCs w:val="24"/>
        </w:rPr>
        <w:t>Ufficio Banche dati e Ricerche</w:t>
      </w:r>
      <w:r w:rsidRPr="00256942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37F572BD" w14:textId="50CB31D9" w:rsidR="000C2976" w:rsidRPr="00256942" w:rsidRDefault="000C2976" w:rsidP="000C297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56942">
        <w:rPr>
          <w:rFonts w:ascii="Bookman Old Style" w:hAnsi="Bookman Old Style"/>
          <w:b/>
          <w:bCs/>
          <w:sz w:val="24"/>
          <w:szCs w:val="24"/>
        </w:rPr>
        <w:t>Marzo 2025</w:t>
      </w:r>
    </w:p>
    <w:p w14:paraId="06A8949E" w14:textId="77777777" w:rsidR="00A01F3F" w:rsidRPr="00256942" w:rsidRDefault="00A01F3F" w:rsidP="008C4E8D">
      <w:pPr>
        <w:rPr>
          <w:rFonts w:ascii="Bookman Old Style" w:hAnsi="Bookman Old Style"/>
        </w:rPr>
      </w:pPr>
    </w:p>
    <w:p w14:paraId="1C6B5348" w14:textId="3E5B707E" w:rsidR="0061649F" w:rsidRDefault="00FE3CAD" w:rsidP="0027382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 presente Dossier p</w:t>
      </w:r>
      <w:r w:rsidR="0027382B" w:rsidRPr="0027382B">
        <w:rPr>
          <w:rFonts w:ascii="Bookman Old Style" w:hAnsi="Bookman Old Style"/>
        </w:rPr>
        <w:t>r</w:t>
      </w:r>
      <w:r w:rsidR="001F1908">
        <w:rPr>
          <w:rFonts w:ascii="Bookman Old Style" w:hAnsi="Bookman Old Style"/>
        </w:rPr>
        <w:t>opone</w:t>
      </w:r>
      <w:r w:rsidR="0027382B" w:rsidRPr="0027382B">
        <w:rPr>
          <w:rFonts w:ascii="Bookman Old Style" w:hAnsi="Bookman Old Style"/>
        </w:rPr>
        <w:t xml:space="preserve"> un approfondi</w:t>
      </w:r>
      <w:r w:rsidR="00E66E6B">
        <w:rPr>
          <w:rFonts w:ascii="Bookman Old Style" w:hAnsi="Bookman Old Style"/>
        </w:rPr>
        <w:t>mento analitico</w:t>
      </w:r>
      <w:r w:rsidR="0027382B" w:rsidRPr="0027382B">
        <w:rPr>
          <w:rFonts w:ascii="Bookman Old Style" w:hAnsi="Bookman Old Style"/>
        </w:rPr>
        <w:t xml:space="preserve"> </w:t>
      </w:r>
      <w:r w:rsidR="00970AE2">
        <w:rPr>
          <w:rFonts w:ascii="Bookman Old Style" w:hAnsi="Bookman Old Style"/>
        </w:rPr>
        <w:t>su</w:t>
      </w:r>
      <w:r w:rsidR="0027382B" w:rsidRPr="0027382B">
        <w:rPr>
          <w:rFonts w:ascii="Bookman Old Style" w:hAnsi="Bookman Old Style"/>
        </w:rPr>
        <w:t xml:space="preserve">lla presenza femminile nelle </w:t>
      </w:r>
      <w:r w:rsidR="001F1908">
        <w:rPr>
          <w:rFonts w:ascii="Bookman Old Style" w:hAnsi="Bookman Old Style"/>
        </w:rPr>
        <w:t>A</w:t>
      </w:r>
      <w:r w:rsidR="0027382B" w:rsidRPr="0027382B">
        <w:rPr>
          <w:rFonts w:ascii="Bookman Old Style" w:hAnsi="Bookman Old Style"/>
        </w:rPr>
        <w:t>mministrazioni comunali italiane, mettendo in luce i principali trend e le dinamiche di genere nel contesto politico e amministrativo locale</w:t>
      </w:r>
      <w:r w:rsidR="00624751" w:rsidRPr="0027382B">
        <w:rPr>
          <w:rFonts w:ascii="Bookman Old Style" w:hAnsi="Bookman Old Style"/>
        </w:rPr>
        <w:t>, evidenziando i progressi compiuti e le sfide ancora presenti</w:t>
      </w:r>
      <w:r w:rsidR="0061649F">
        <w:rPr>
          <w:rFonts w:ascii="Bookman Old Style" w:hAnsi="Bookman Old Style"/>
        </w:rPr>
        <w:t>.</w:t>
      </w:r>
    </w:p>
    <w:p w14:paraId="7567B4E3" w14:textId="3F32D6E8" w:rsidR="0027382B" w:rsidRPr="0027382B" w:rsidRDefault="0027382B" w:rsidP="0027382B">
      <w:pPr>
        <w:jc w:val="both"/>
        <w:rPr>
          <w:rFonts w:ascii="Bookman Old Style" w:hAnsi="Bookman Old Style"/>
        </w:rPr>
      </w:pPr>
      <w:r w:rsidRPr="0027382B">
        <w:rPr>
          <w:rFonts w:ascii="Bookman Old Style" w:hAnsi="Bookman Old Style"/>
        </w:rPr>
        <w:t>Attraverso l'elaborazione dei dati provenienti dall'anagrafe degli eletti del Ministero degli Interni, dal Conto annuale 2023 della Ragioneria dello Stato e da una rilevazione sulle deleghe assessorili nei comuni capoluogo di provincia, condotta dall'Ufficio Banche Dati e Ricerche di ANCI, emerge un quadro complesso e in evoluzione.</w:t>
      </w:r>
    </w:p>
    <w:p w14:paraId="55A47E53" w14:textId="0A7283D2" w:rsidR="0027382B" w:rsidRPr="0027382B" w:rsidRDefault="00B72A90" w:rsidP="0027382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Sul piano quantitativo l</w:t>
      </w:r>
      <w:r w:rsidR="0027382B" w:rsidRPr="0027382B">
        <w:rPr>
          <w:rFonts w:ascii="Bookman Old Style" w:hAnsi="Bookman Old Style"/>
        </w:rPr>
        <w:t xml:space="preserve">a presenza delle donne nella politica locale è cresciuta significativamente nel corso degli ultimi decenni, con una rappresentanza che oggi raggiunge il 34,1% del totale degli amministratori locali. </w:t>
      </w:r>
      <w:r>
        <w:rPr>
          <w:rFonts w:ascii="Bookman Old Style" w:hAnsi="Bookman Old Style"/>
        </w:rPr>
        <w:t xml:space="preserve">Allo stesso tempo, </w:t>
      </w:r>
      <w:r w:rsidR="00B67833">
        <w:rPr>
          <w:rFonts w:ascii="Bookman Old Style" w:hAnsi="Bookman Old Style"/>
        </w:rPr>
        <w:t xml:space="preserve">l’analisi </w:t>
      </w:r>
      <w:r w:rsidR="0027382B" w:rsidRPr="0027382B">
        <w:rPr>
          <w:rFonts w:ascii="Bookman Old Style" w:hAnsi="Bookman Old Style"/>
        </w:rPr>
        <w:t>delle deleghe assessorili, evidenzia un cambiamento nei profili di responsabilità attribuiti alle donne. Se in passato le deleghe tradizionalmente legate alle politiche sociali e di genere erano predominanti, negli ultimi anni si osserva una crescente partecipazione femminile in settori chiave come ambiente, lavori pubblici e mobilità, a indicare un profilo politico più bilanciato.</w:t>
      </w:r>
    </w:p>
    <w:p w14:paraId="669D36E0" w14:textId="77777777" w:rsidR="0027382B" w:rsidRPr="0027382B" w:rsidRDefault="0027382B" w:rsidP="0027382B">
      <w:pPr>
        <w:jc w:val="both"/>
        <w:rPr>
          <w:rFonts w:ascii="Bookman Old Style" w:hAnsi="Bookman Old Style"/>
        </w:rPr>
      </w:pPr>
      <w:r w:rsidRPr="0027382B">
        <w:rPr>
          <w:rFonts w:ascii="Bookman Old Style" w:hAnsi="Bookman Old Style"/>
        </w:rPr>
        <w:t>Infine, l’analisi dell’occupazione femminile nelle amministrazioni comunali evidenzia una crescente femminilizzazione del personale, con le donne che rappresentano il 57% del totale degli impiegati comunali. Anche nelle posizioni dirigenziali, il trend è in crescita, con un aumento significativo di donne segretarie comunali e dirigenti, segno di una progressiva parità di genere nei ruoli decisionali.</w:t>
      </w:r>
    </w:p>
    <w:p w14:paraId="384F1282" w14:textId="65467F83" w:rsidR="0027382B" w:rsidRPr="00445210" w:rsidRDefault="00607F21" w:rsidP="0061649F">
      <w:pPr>
        <w:jc w:val="center"/>
        <w:rPr>
          <w:rFonts w:ascii="Bookman Old Style" w:hAnsi="Bookman Old Style"/>
          <w:b/>
          <w:bCs/>
        </w:rPr>
      </w:pPr>
      <w:r w:rsidRPr="00445210">
        <w:rPr>
          <w:rFonts w:ascii="Bookman Old Style" w:hAnsi="Bookman Old Style"/>
          <w:b/>
          <w:bCs/>
        </w:rPr>
        <w:t>I</w:t>
      </w:r>
      <w:r w:rsidR="0004734E" w:rsidRPr="00445210">
        <w:rPr>
          <w:rFonts w:ascii="Bookman Old Style" w:hAnsi="Bookman Old Style"/>
          <w:b/>
          <w:bCs/>
        </w:rPr>
        <w:t xml:space="preserve"> risultati in sintesi</w:t>
      </w:r>
    </w:p>
    <w:p w14:paraId="5897E941" w14:textId="5E381EB1" w:rsidR="00F05C02" w:rsidRPr="00256942" w:rsidRDefault="00B45082" w:rsidP="00A01F3F">
      <w:pPr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  <w:b/>
          <w:bCs/>
        </w:rPr>
        <w:t>Le donne nella rappresentanza politica dei comuni sono 36.722</w:t>
      </w:r>
      <w:r w:rsidR="00F05C02" w:rsidRPr="00256942">
        <w:rPr>
          <w:rFonts w:ascii="Bookman Old Style" w:hAnsi="Bookman Old Style"/>
          <w:b/>
          <w:bCs/>
        </w:rPr>
        <w:t xml:space="preserve"> e rappresentano il 34,1% del</w:t>
      </w:r>
      <w:r w:rsidRPr="00256942">
        <w:rPr>
          <w:rFonts w:ascii="Bookman Old Style" w:hAnsi="Bookman Old Style"/>
          <w:b/>
          <w:bCs/>
        </w:rPr>
        <w:t xml:space="preserve"> totale degli Amministratori </w:t>
      </w:r>
      <w:r w:rsidR="00F05C02" w:rsidRPr="00256942">
        <w:rPr>
          <w:rFonts w:ascii="Bookman Old Style" w:hAnsi="Bookman Old Style"/>
          <w:b/>
          <w:bCs/>
        </w:rPr>
        <w:t xml:space="preserve">locali. </w:t>
      </w:r>
      <w:r w:rsidRPr="00256942">
        <w:rPr>
          <w:rFonts w:ascii="Bookman Old Style" w:hAnsi="Bookman Old Style"/>
        </w:rPr>
        <w:t>L</w:t>
      </w:r>
      <w:r w:rsidR="00C4459B">
        <w:rPr>
          <w:rFonts w:ascii="Bookman Old Style" w:hAnsi="Bookman Old Style"/>
        </w:rPr>
        <w:t>’incidenza femm</w:t>
      </w:r>
      <w:r w:rsidR="003B3969">
        <w:rPr>
          <w:rFonts w:ascii="Bookman Old Style" w:hAnsi="Bookman Old Style"/>
        </w:rPr>
        <w:t xml:space="preserve">inile nella carica di </w:t>
      </w:r>
      <w:r w:rsidR="0088476A">
        <w:rPr>
          <w:rFonts w:ascii="Bookman Old Style" w:hAnsi="Bookman Old Style"/>
        </w:rPr>
        <w:t xml:space="preserve">Sindaco </w:t>
      </w:r>
      <w:r w:rsidR="008111FC">
        <w:rPr>
          <w:rFonts w:ascii="Bookman Old Style" w:hAnsi="Bookman Old Style"/>
        </w:rPr>
        <w:t>si attesta</w:t>
      </w:r>
      <w:r w:rsidR="00F70A7A">
        <w:rPr>
          <w:rFonts w:ascii="Bookman Old Style" w:hAnsi="Bookman Old Style"/>
        </w:rPr>
        <w:t xml:space="preserve"> al</w:t>
      </w:r>
      <w:r w:rsidRPr="00256942">
        <w:rPr>
          <w:rFonts w:ascii="Bookman Old Style" w:hAnsi="Bookman Old Style"/>
        </w:rPr>
        <w:t xml:space="preserve"> 15,4%</w:t>
      </w:r>
      <w:r w:rsidR="00F05C02" w:rsidRPr="00256942">
        <w:rPr>
          <w:rFonts w:ascii="Bookman Old Style" w:hAnsi="Bookman Old Style"/>
        </w:rPr>
        <w:t xml:space="preserve">, </w:t>
      </w:r>
      <w:r w:rsidRPr="00256942">
        <w:rPr>
          <w:rFonts w:ascii="Bookman Old Style" w:hAnsi="Bookman Old Style"/>
        </w:rPr>
        <w:t xml:space="preserve">più alta la percentuale di donne </w:t>
      </w:r>
      <w:r w:rsidR="00F05C02" w:rsidRPr="00256942">
        <w:rPr>
          <w:rFonts w:ascii="Bookman Old Style" w:hAnsi="Bookman Old Style"/>
        </w:rPr>
        <w:t>Vicesindaco (31,8%), Consigliere (33,6%) e</w:t>
      </w:r>
      <w:r w:rsidRPr="00256942">
        <w:rPr>
          <w:rFonts w:ascii="Bookman Old Style" w:hAnsi="Bookman Old Style"/>
        </w:rPr>
        <w:t xml:space="preserve"> Assessore (45,6%), mentre i Presidenti del Consiglio sono donne nel 29% dei casi.</w:t>
      </w:r>
    </w:p>
    <w:p w14:paraId="2D8F6522" w14:textId="54E18E3A" w:rsidR="00B45082" w:rsidRPr="00256942" w:rsidRDefault="00B45082" w:rsidP="00F70A7A">
      <w:pPr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  <w:b/>
          <w:bCs/>
        </w:rPr>
        <w:t xml:space="preserve">Le donne sindaco nel 2024 sono 1.189. </w:t>
      </w:r>
      <w:r w:rsidRPr="00256942">
        <w:rPr>
          <w:rFonts w:ascii="Bookman Old Style" w:hAnsi="Bookman Old Style"/>
          <w:b/>
          <w:bCs/>
          <w:u w:val="single"/>
        </w:rPr>
        <w:t>Il loro numero è cresciuto di più di 8 volte in 39 anni</w:t>
      </w:r>
      <w:r w:rsidRPr="00256942">
        <w:rPr>
          <w:rFonts w:ascii="Bookman Old Style" w:hAnsi="Bookman Old Style"/>
        </w:rPr>
        <w:t>: nel 1986 i comuni amministrati da sindache erano 145. Il 43,5%, dei Comuni ha avuto nel</w:t>
      </w:r>
      <w:r w:rsidR="00F70A7A">
        <w:rPr>
          <w:rFonts w:ascii="Bookman Old Style" w:hAnsi="Bookman Old Style"/>
        </w:rPr>
        <w:t xml:space="preserve"> </w:t>
      </w:r>
      <w:r w:rsidRPr="00256942">
        <w:rPr>
          <w:rFonts w:ascii="Bookman Old Style" w:hAnsi="Bookman Old Style"/>
        </w:rPr>
        <w:t>su</w:t>
      </w:r>
      <w:r w:rsidR="00F70A7A">
        <w:rPr>
          <w:rFonts w:ascii="Bookman Old Style" w:hAnsi="Bookman Old Style"/>
        </w:rPr>
        <w:t>o</w:t>
      </w:r>
      <w:r w:rsidRPr="00256942">
        <w:rPr>
          <w:rFonts w:ascii="Bookman Old Style" w:hAnsi="Bookman Old Style"/>
        </w:rPr>
        <w:t xml:space="preserve"> recente passato una donna al vertice dell’amministrazione comunale.</w:t>
      </w:r>
    </w:p>
    <w:p w14:paraId="76F0DE5A" w14:textId="70C363FE" w:rsidR="00F05C02" w:rsidRPr="00256942" w:rsidRDefault="00F05C02" w:rsidP="00F70A7A">
      <w:pPr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  <w:b/>
          <w:bCs/>
        </w:rPr>
        <w:lastRenderedPageBreak/>
        <w:t>La rappresentanza femminile è maggiore nelle amministrazioni comunali delle regioni del nord-est (36,6%) e del centro (35,4%),</w:t>
      </w:r>
      <w:r w:rsidRPr="00256942">
        <w:rPr>
          <w:rFonts w:ascii="Bookman Old Style" w:hAnsi="Bookman Old Style"/>
        </w:rPr>
        <w:t xml:space="preserve"> leggermente più bassa della media nazionale in quelle del sud e delle isole (31,7%).</w:t>
      </w:r>
    </w:p>
    <w:p w14:paraId="6E185215" w14:textId="01A68575" w:rsidR="00DC2721" w:rsidRPr="00256942" w:rsidRDefault="00DC2721" w:rsidP="00DC2721">
      <w:pPr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</w:rPr>
        <w:t xml:space="preserve">Il divario territoriale si fa più netto in relazione alle diverse cariche: </w:t>
      </w:r>
      <w:r w:rsidRPr="00256942">
        <w:rPr>
          <w:rFonts w:ascii="Bookman Old Style" w:hAnsi="Bookman Old Style"/>
          <w:b/>
          <w:bCs/>
        </w:rPr>
        <w:t>il 43,2% delle donne Sindaco sono infatti state elette in Comuni del nord ovest</w:t>
      </w:r>
      <w:r w:rsidRPr="00256942">
        <w:rPr>
          <w:rFonts w:ascii="Bookman Old Style" w:hAnsi="Bookman Old Style"/>
        </w:rPr>
        <w:t>, analogamente si è scelto di nominare donne come Vicesindache per il 40,8% in amministrazioni nord ovest del paese. Al contrario la carica di Presidente del Consiglio comunale è prevalente nel sud e nelle isole</w:t>
      </w:r>
      <w:r w:rsidR="00DF6366">
        <w:rPr>
          <w:rFonts w:ascii="Bookman Old Style" w:hAnsi="Bookman Old Style"/>
        </w:rPr>
        <w:t>,</w:t>
      </w:r>
      <w:r w:rsidRPr="00256942">
        <w:rPr>
          <w:rFonts w:ascii="Bookman Old Style" w:hAnsi="Bookman Old Style"/>
        </w:rPr>
        <w:t xml:space="preserve"> dove raggiunge il 54%. </w:t>
      </w:r>
    </w:p>
    <w:p w14:paraId="16ECFBA4" w14:textId="77777777" w:rsidR="00280824" w:rsidRPr="00256942" w:rsidRDefault="00280824" w:rsidP="00280824">
      <w:pPr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  <w:b/>
          <w:bCs/>
        </w:rPr>
        <w:t>Le donne amministratrici sono mediamente più giovani e più istruite dei colleghi uomini.</w:t>
      </w:r>
      <w:r w:rsidRPr="00256942">
        <w:rPr>
          <w:rFonts w:ascii="Bookman Old Style" w:hAnsi="Bookman Old Style"/>
        </w:rPr>
        <w:t xml:space="preserve"> Il 49% ha una laurea o un titolo postlaurea (tra gli uomini la percentuale è del 34%) e l’età media è di 48 anni, tre anni inferiore ai colleghi uomini (51 anni). </w:t>
      </w:r>
    </w:p>
    <w:p w14:paraId="59ED4F73" w14:textId="7F51716E" w:rsidR="00BB19D8" w:rsidRPr="00256942" w:rsidRDefault="007532F0" w:rsidP="007532F0">
      <w:pPr>
        <w:jc w:val="both"/>
        <w:rPr>
          <w:rFonts w:ascii="Bookman Old Style" w:hAnsi="Bookman Old Style"/>
        </w:rPr>
      </w:pPr>
      <w:r w:rsidRPr="007532F0">
        <w:rPr>
          <w:rFonts w:ascii="Bookman Old Style" w:hAnsi="Bookman Old Style"/>
        </w:rPr>
        <w:t xml:space="preserve">Nel 2025, il 24% delle deleghe assegnate alle donne assessore riguarda ancora "casa, famiglia, scuola, politiche sociali, pari opportunità", ma si nota una distribuzione più equilibrata rispetto al 2015. </w:t>
      </w:r>
      <w:r w:rsidRPr="007532F0">
        <w:rPr>
          <w:rFonts w:ascii="Bookman Old Style" w:hAnsi="Bookman Old Style"/>
          <w:b/>
          <w:bCs/>
        </w:rPr>
        <w:t>Le donne non si occupano più solo di settori tradizionalmente legati al welfare, con una presenza crescente in ambiti strategici come ambiente (+11,8%), lavori pubblici (+8,7%), mobilità (+7,4%) e risorse strategiche (+5,4%).</w:t>
      </w:r>
      <w:r w:rsidRPr="007532F0">
        <w:rPr>
          <w:rFonts w:ascii="Bookman Old Style" w:hAnsi="Bookman Old Style"/>
        </w:rPr>
        <w:t xml:space="preserve"> Questo indica un maggiore accesso femminile a deleghe politiche di rilievo.</w:t>
      </w:r>
    </w:p>
    <w:p w14:paraId="754B7A58" w14:textId="17E76D90" w:rsidR="00DC2721" w:rsidRPr="00256942" w:rsidRDefault="00BF2DF8" w:rsidP="00F6513B">
      <w:pPr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  <w:b/>
          <w:bCs/>
        </w:rPr>
        <w:t xml:space="preserve">Nei comuni </w:t>
      </w:r>
      <w:r w:rsidR="00773C42" w:rsidRPr="00256942">
        <w:rPr>
          <w:rFonts w:ascii="Bookman Old Style" w:hAnsi="Bookman Old Style"/>
          <w:b/>
          <w:bCs/>
        </w:rPr>
        <w:t>lavorano stabilmente oltre 322 mila persone, di queste il 57% sono donne</w:t>
      </w:r>
      <w:r w:rsidR="00BB19D8" w:rsidRPr="00256942">
        <w:rPr>
          <w:rFonts w:ascii="Bookman Old Style" w:hAnsi="Bookman Old Style"/>
        </w:rPr>
        <w:t xml:space="preserve">. Guardando ai dati dell’ultimo decennio due gli elementi che colpiscono: una crescente femminilizzazione dell’impiego nelle amministrazioni comunali che è cresciuto di 4,7 punti percentuali la presenza significativa di donne nelle cariche dirigenziali. </w:t>
      </w:r>
      <w:r w:rsidR="00C17D08" w:rsidRPr="00256942">
        <w:rPr>
          <w:rFonts w:ascii="Bookman Old Style" w:hAnsi="Bookman Old Style"/>
        </w:rPr>
        <w:t>I</w:t>
      </w:r>
      <w:r w:rsidR="00773C42" w:rsidRPr="00256942">
        <w:rPr>
          <w:rFonts w:ascii="Bookman Old Style" w:hAnsi="Bookman Old Style"/>
        </w:rPr>
        <w:t xml:space="preserve">l </w:t>
      </w:r>
      <w:r w:rsidR="00C17D08" w:rsidRPr="00256942">
        <w:rPr>
          <w:rFonts w:ascii="Bookman Old Style" w:hAnsi="Bookman Old Style"/>
        </w:rPr>
        <w:t>54</w:t>
      </w:r>
      <w:r w:rsidR="00773C42" w:rsidRPr="00256942">
        <w:rPr>
          <w:rFonts w:ascii="Bookman Old Style" w:hAnsi="Bookman Old Style"/>
        </w:rPr>
        <w:t>%</w:t>
      </w:r>
      <w:r w:rsidR="00BB19D8" w:rsidRPr="00256942">
        <w:rPr>
          <w:rFonts w:ascii="Bookman Old Style" w:hAnsi="Bookman Old Style"/>
        </w:rPr>
        <w:t xml:space="preserve"> dei segretari comunali è donna e crescono di circa 3 punti percentuali le dirigenti donna: nel 2022 circa 4 su 10 sono donne</w:t>
      </w:r>
      <w:r w:rsidR="00773C42" w:rsidRPr="00256942">
        <w:rPr>
          <w:rFonts w:ascii="Bookman Old Style" w:hAnsi="Bookman Old Style"/>
        </w:rPr>
        <w:t>.</w:t>
      </w:r>
    </w:p>
    <w:p w14:paraId="3B2B7177" w14:textId="0CACB6D4" w:rsidR="00AE3230" w:rsidRPr="00256942" w:rsidRDefault="00AE3230">
      <w:pPr>
        <w:rPr>
          <w:rFonts w:ascii="Bookman Old Style" w:hAnsi="Bookman Old Style"/>
        </w:rPr>
      </w:pPr>
      <w:r w:rsidRPr="00256942">
        <w:rPr>
          <w:rFonts w:ascii="Bookman Old Style" w:hAnsi="Bookman Old Style"/>
        </w:rPr>
        <w:br w:type="page"/>
      </w:r>
    </w:p>
    <w:p w14:paraId="6265FC9E" w14:textId="17B4D375" w:rsidR="00C476EB" w:rsidRPr="00256942" w:rsidRDefault="00645E26" w:rsidP="00AE1BB3">
      <w:pPr>
        <w:pStyle w:val="Titolo1"/>
        <w:rPr>
          <w:rFonts w:ascii="Bookman Old Style" w:hAnsi="Bookman Old Style"/>
          <w:b/>
          <w:bCs/>
          <w:color w:val="auto"/>
          <w:sz w:val="32"/>
          <w:szCs w:val="32"/>
        </w:rPr>
      </w:pPr>
      <w:bookmarkStart w:id="0" w:name="_Toc191982327"/>
      <w:bookmarkStart w:id="1" w:name="_Toc191982326"/>
      <w:r w:rsidRPr="00256942">
        <w:rPr>
          <w:rFonts w:ascii="Bookman Old Style" w:hAnsi="Bookman Old Style"/>
          <w:b/>
          <w:bCs/>
          <w:color w:val="auto"/>
          <w:sz w:val="32"/>
          <w:szCs w:val="32"/>
        </w:rPr>
        <w:lastRenderedPageBreak/>
        <w:t>1</w:t>
      </w:r>
      <w:r w:rsidR="00AB23BF" w:rsidRPr="00256942">
        <w:rPr>
          <w:rFonts w:ascii="Bookman Old Style" w:hAnsi="Bookman Old Style"/>
          <w:b/>
          <w:bCs/>
          <w:color w:val="auto"/>
          <w:sz w:val="32"/>
          <w:szCs w:val="32"/>
        </w:rPr>
        <w:t xml:space="preserve">. </w:t>
      </w:r>
      <w:r w:rsidR="00AE1BB3" w:rsidRPr="00256942">
        <w:rPr>
          <w:rFonts w:ascii="Bookman Old Style" w:hAnsi="Bookman Old Style"/>
          <w:b/>
          <w:bCs/>
          <w:color w:val="auto"/>
          <w:sz w:val="32"/>
          <w:szCs w:val="32"/>
        </w:rPr>
        <w:t>Donne Amministratrici</w:t>
      </w:r>
      <w:bookmarkEnd w:id="0"/>
      <w:r w:rsidR="00277A89">
        <w:rPr>
          <w:rFonts w:ascii="Bookman Old Style" w:hAnsi="Bookman Old Style"/>
          <w:b/>
          <w:bCs/>
          <w:color w:val="auto"/>
          <w:sz w:val="32"/>
          <w:szCs w:val="32"/>
        </w:rPr>
        <w:t xml:space="preserve"> nei Comuni</w:t>
      </w:r>
    </w:p>
    <w:p w14:paraId="7D99206C" w14:textId="2FEE473A" w:rsidR="00C476EB" w:rsidRPr="00256942" w:rsidRDefault="00C476EB" w:rsidP="00FC6637">
      <w:pPr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</w:rPr>
        <w:t>L’analisi quantitativa sulle donne amministratici è stata eseguita utilizzando la base anagrafica degli amministratori locali pubblicata dal Ministero dell’Interno; In particolare si sono utilizzati gli archivi degli amministratori aggiornati al 31/12/2024 che si riferiscono ai 7.773 comuni, pari al 98,4% del totale dei comuni italiani. Dall’analisi sono stati esclusi i comuni commissariati e le conseguenti cariche di commissariamento</w:t>
      </w:r>
      <w:r w:rsidR="000B52D8">
        <w:rPr>
          <w:rFonts w:ascii="Bookman Old Style" w:hAnsi="Bookman Old Style"/>
        </w:rPr>
        <w:t xml:space="preserve"> </w:t>
      </w:r>
      <w:r w:rsidRPr="00256942">
        <w:rPr>
          <w:rFonts w:ascii="Bookman Old Style" w:hAnsi="Bookman Old Style"/>
        </w:rPr>
        <w:t xml:space="preserve">che, sempre alla data del 31 dicembre 2024 risultavano essere 93. </w:t>
      </w:r>
    </w:p>
    <w:p w14:paraId="767DC611" w14:textId="77777777" w:rsidR="00C476EB" w:rsidRPr="00256942" w:rsidRDefault="00C476EB" w:rsidP="00FC6637">
      <w:pPr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</w:rPr>
        <w:t xml:space="preserve">Le cariche prese in considerazione sono pertanto quelle di Sindaco, Vicesindaco, Assessore, Presidente del Consiglio comunale e Consigliere. Il database del ministero degli Interni possiede un’anagrafica di 107.642 amministratori locali. </w:t>
      </w:r>
    </w:p>
    <w:p w14:paraId="52247DAD" w14:textId="77777777" w:rsidR="00C476EB" w:rsidRPr="00256942" w:rsidRDefault="00C476EB" w:rsidP="00FC6637">
      <w:pPr>
        <w:jc w:val="both"/>
        <w:rPr>
          <w:rFonts w:ascii="Bookman Old Style" w:hAnsi="Bookman Old Style"/>
          <w:highlight w:val="yellow"/>
        </w:rPr>
      </w:pPr>
      <w:r w:rsidRPr="00256942">
        <w:rPr>
          <w:rFonts w:ascii="Bookman Old Style" w:hAnsi="Bookman Old Style"/>
        </w:rPr>
        <w:t>L’analisi intende delineare le principali caratteristiche degli amministratori comunali: presenza numerica e distribuzione territoriale delle Amministratrici, soglia dimensionale del Comune d’appartenenza, incarico ricoperto, titolo di studio ed età.</w:t>
      </w:r>
    </w:p>
    <w:p w14:paraId="6A4E5317" w14:textId="19521884" w:rsidR="00C476EB" w:rsidRPr="00256942" w:rsidRDefault="00C476EB" w:rsidP="00FC6637">
      <w:pPr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</w:rPr>
        <w:t>L’incidenza delle donne sul totale degli Amministratori è pari al 34,1%, Le sindache rappresentano il 15,4%; più alta la percentuale di donne le Assessore (45,6%), mentre i Presidenti del Consiglio sono donne nel 29% dei casi.</w:t>
      </w:r>
      <w:r w:rsidR="00277A89">
        <w:rPr>
          <w:rFonts w:ascii="Bookman Old Style" w:hAnsi="Bookman Old Style"/>
        </w:rPr>
        <w:t xml:space="preserve"> </w:t>
      </w:r>
      <w:r w:rsidRPr="00256942">
        <w:rPr>
          <w:rFonts w:ascii="Bookman Old Style" w:hAnsi="Bookman Old Style"/>
        </w:rPr>
        <w:t>La rappresentanza femminile tra i consiglieri comunali è invece del 33,6%.</w:t>
      </w:r>
    </w:p>
    <w:p w14:paraId="59D69A4E" w14:textId="65654628" w:rsidR="00C476EB" w:rsidRPr="000B52D8" w:rsidRDefault="00C476EB" w:rsidP="00C476EB">
      <w:pPr>
        <w:pStyle w:val="Didascalia"/>
        <w:rPr>
          <w:rFonts w:ascii="Bookman Old Style" w:hAnsi="Bookman Old Style"/>
          <w:sz w:val="22"/>
          <w:szCs w:val="22"/>
        </w:rPr>
      </w:pPr>
      <w:r w:rsidRPr="000B52D8">
        <w:rPr>
          <w:rFonts w:ascii="Bookman Old Style" w:hAnsi="Bookman Old Style"/>
          <w:sz w:val="22"/>
          <w:szCs w:val="22"/>
        </w:rPr>
        <w:t xml:space="preserve">Tabella </w:t>
      </w:r>
      <w:r w:rsidRPr="000B52D8">
        <w:rPr>
          <w:rFonts w:ascii="Bookman Old Style" w:hAnsi="Bookman Old Style"/>
          <w:sz w:val="22"/>
          <w:szCs w:val="22"/>
        </w:rPr>
        <w:fldChar w:fldCharType="begin"/>
      </w:r>
      <w:r w:rsidRPr="000B52D8">
        <w:rPr>
          <w:rFonts w:ascii="Bookman Old Style" w:hAnsi="Bookman Old Style"/>
          <w:sz w:val="22"/>
          <w:szCs w:val="22"/>
        </w:rPr>
        <w:instrText xml:space="preserve"> SEQ Tabella \* ARABIC </w:instrText>
      </w:r>
      <w:r w:rsidRPr="000B52D8">
        <w:rPr>
          <w:rFonts w:ascii="Bookman Old Style" w:hAnsi="Bookman Old Style"/>
          <w:sz w:val="22"/>
          <w:szCs w:val="22"/>
        </w:rPr>
        <w:fldChar w:fldCharType="separate"/>
      </w:r>
      <w:r w:rsidR="00E66E6B">
        <w:rPr>
          <w:rFonts w:ascii="Bookman Old Style" w:hAnsi="Bookman Old Style"/>
          <w:noProof/>
          <w:sz w:val="22"/>
          <w:szCs w:val="22"/>
        </w:rPr>
        <w:t>1</w:t>
      </w:r>
      <w:r w:rsidRPr="000B52D8">
        <w:rPr>
          <w:rFonts w:ascii="Bookman Old Style" w:hAnsi="Bookman Old Style"/>
          <w:noProof/>
          <w:sz w:val="22"/>
          <w:szCs w:val="22"/>
        </w:rPr>
        <w:fldChar w:fldCharType="end"/>
      </w:r>
      <w:r w:rsidRPr="000B52D8">
        <w:rPr>
          <w:rFonts w:ascii="Bookman Old Style" w:hAnsi="Bookman Old Style"/>
          <w:sz w:val="22"/>
          <w:szCs w:val="22"/>
        </w:rPr>
        <w:t>. Ripartizione per carica – incidenza sul totale degli Amministratori, per singola carica, 2024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2"/>
        <w:gridCol w:w="1473"/>
        <w:gridCol w:w="962"/>
        <w:gridCol w:w="1473"/>
        <w:gridCol w:w="962"/>
        <w:gridCol w:w="1216"/>
      </w:tblGrid>
      <w:tr w:rsidR="00C476EB" w:rsidRPr="00256942" w14:paraId="24037F33" w14:textId="77777777" w:rsidTr="00851A6A">
        <w:trPr>
          <w:trHeight w:val="270"/>
        </w:trPr>
        <w:tc>
          <w:tcPr>
            <w:tcW w:w="184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14:paraId="18EA9355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  <w:t>Carica</w:t>
            </w:r>
          </w:p>
        </w:tc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7A22D40E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  <w:t>Donne</w:t>
            </w:r>
          </w:p>
        </w:tc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252E156C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  <w:t>Uomini</w:t>
            </w:r>
          </w:p>
        </w:tc>
        <w:tc>
          <w:tcPr>
            <w:tcW w:w="63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14:paraId="73F89F48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  <w:t>Totale</w:t>
            </w:r>
          </w:p>
        </w:tc>
      </w:tr>
      <w:tr w:rsidR="00C476EB" w:rsidRPr="00256942" w14:paraId="5C70FFCB" w14:textId="77777777" w:rsidTr="00851A6A">
        <w:trPr>
          <w:trHeight w:val="264"/>
        </w:trPr>
        <w:tc>
          <w:tcPr>
            <w:tcW w:w="18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38CB0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5A90884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  <w:t>v.a.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0B87BDC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0745A7A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  <w:t>v.a.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5ABFAC99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63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D3EDB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</w:tr>
      <w:tr w:rsidR="00C476EB" w:rsidRPr="00256942" w14:paraId="529240EB" w14:textId="77777777" w:rsidTr="00851A6A">
        <w:trPr>
          <w:trHeight w:val="264"/>
        </w:trPr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FD56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Sindaco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D058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1.189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7C71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15,4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9E90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6.548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FE43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84,6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253B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7.737</w:t>
            </w:r>
          </w:p>
        </w:tc>
      </w:tr>
      <w:tr w:rsidR="00C476EB" w:rsidRPr="00256942" w14:paraId="7D8BDCB2" w14:textId="77777777" w:rsidTr="00851A6A">
        <w:trPr>
          <w:trHeight w:val="264"/>
        </w:trPr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5435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Vicesindaco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511E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2.224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B9E6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31,8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89C3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4.780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FC8B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68,2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4041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7.004</w:t>
            </w:r>
          </w:p>
        </w:tc>
      </w:tr>
      <w:tr w:rsidR="00C476EB" w:rsidRPr="00256942" w14:paraId="055C99B1" w14:textId="77777777" w:rsidTr="00851A6A">
        <w:trPr>
          <w:trHeight w:val="264"/>
        </w:trPr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85C2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Assessore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4F4C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8.370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FF22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45,6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A41A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9.995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50E2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54,4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ED55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18.365</w:t>
            </w:r>
          </w:p>
        </w:tc>
      </w:tr>
      <w:tr w:rsidR="00C476EB" w:rsidRPr="00256942" w14:paraId="04C3C81C" w14:textId="77777777" w:rsidTr="00851A6A">
        <w:trPr>
          <w:trHeight w:val="264"/>
        </w:trPr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DD89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Presidente del consiglio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C07E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441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4E96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29,0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756F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1.081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EBDA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71,0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03CF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1.522</w:t>
            </w:r>
          </w:p>
        </w:tc>
      </w:tr>
      <w:tr w:rsidR="00C476EB" w:rsidRPr="00256942" w14:paraId="1CB3B092" w14:textId="77777777" w:rsidTr="00851A6A">
        <w:trPr>
          <w:trHeight w:val="264"/>
        </w:trPr>
        <w:tc>
          <w:tcPr>
            <w:tcW w:w="1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9E94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Consigliere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8DBF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24.498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CD7F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33,6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7DBE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48.516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BE7D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66,4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7A6E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73.014</w:t>
            </w:r>
          </w:p>
        </w:tc>
      </w:tr>
      <w:tr w:rsidR="00C476EB" w:rsidRPr="00256942" w14:paraId="2F221C19" w14:textId="77777777" w:rsidTr="00851A6A">
        <w:trPr>
          <w:trHeight w:val="264"/>
        </w:trPr>
        <w:tc>
          <w:tcPr>
            <w:tcW w:w="18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98604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70B0B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36.722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F5254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34,1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6363B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70.920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B6DD9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65,9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1CD69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107.642</w:t>
            </w:r>
          </w:p>
        </w:tc>
      </w:tr>
    </w:tbl>
    <w:p w14:paraId="4A9CB496" w14:textId="77777777" w:rsidR="00C476EB" w:rsidRPr="00FA1A8F" w:rsidRDefault="00C476EB" w:rsidP="00FA1A8F">
      <w:pPr>
        <w:pStyle w:val="Fonte"/>
        <w:spacing w:after="0"/>
        <w:rPr>
          <w:rFonts w:ascii="Bookman Old Style" w:hAnsi="Bookman Old Style" w:cs="Georgia"/>
          <w:sz w:val="20"/>
          <w:szCs w:val="20"/>
        </w:rPr>
      </w:pPr>
      <w:r w:rsidRPr="00FA1A8F">
        <w:rPr>
          <w:rFonts w:ascii="Bookman Old Style" w:hAnsi="Bookman Old Style"/>
          <w:sz w:val="20"/>
          <w:szCs w:val="20"/>
        </w:rPr>
        <w:t>Fonte: elaborazioni ANCI su dati Ministero dell’Interno</w:t>
      </w:r>
    </w:p>
    <w:p w14:paraId="35F5C33E" w14:textId="77777777" w:rsidR="00FA1A8F" w:rsidRDefault="00FA1A8F" w:rsidP="00C476EB">
      <w:pPr>
        <w:rPr>
          <w:rFonts w:ascii="Bookman Old Style" w:hAnsi="Bookman Old Style"/>
        </w:rPr>
      </w:pPr>
    </w:p>
    <w:p w14:paraId="2E0291A8" w14:textId="332268A1" w:rsidR="00F86E6F" w:rsidRDefault="00F86E6F" w:rsidP="00FC6637">
      <w:pPr>
        <w:jc w:val="both"/>
        <w:rPr>
          <w:rFonts w:ascii="Bookman Old Style" w:hAnsi="Bookman Old Style"/>
        </w:rPr>
      </w:pPr>
      <w:r w:rsidRPr="00F86E6F">
        <w:rPr>
          <w:rFonts w:ascii="Bookman Old Style" w:hAnsi="Bookman Old Style"/>
        </w:rPr>
        <w:t>La composizione per genere delle giunte comunali nei comuni con più di 3.000 abitanti mostra che la percentuale di donne assessore supera di sette punti il minimo del 40% previsto dalla normativa, attestandosi al 47,2%. Nei comuni con meno di 3.000 abitanti, pur in assenza di una norma specifica, la rappresentanza femminile tra gli assessori si mantiene comunque al di sopra del 40% (42,3%). Inoltre, se si analizza la componente femminile distinguendo tra cariche elettive (come sindaco e consigliere) e cariche nominali (come vicesindaco, assessore e presidente del consiglio), emerge che le donne elette superano le nominate di circa 40 punti percentuali, rappresentando il 69,9% del totale.</w:t>
      </w:r>
    </w:p>
    <w:p w14:paraId="547CE587" w14:textId="77777777" w:rsidR="006924A6" w:rsidRDefault="006924A6" w:rsidP="00FC6637">
      <w:pPr>
        <w:jc w:val="both"/>
        <w:rPr>
          <w:rFonts w:ascii="Bookman Old Style" w:hAnsi="Bookman Old Style"/>
        </w:rPr>
      </w:pPr>
    </w:p>
    <w:p w14:paraId="465FB45C" w14:textId="77777777" w:rsidR="006924A6" w:rsidRDefault="006924A6" w:rsidP="00FC6637">
      <w:pPr>
        <w:jc w:val="both"/>
        <w:rPr>
          <w:rFonts w:ascii="Bookman Old Style" w:hAnsi="Bookman Old Style"/>
        </w:rPr>
      </w:pPr>
    </w:p>
    <w:p w14:paraId="486B3A02" w14:textId="052E9008" w:rsidR="00C476EB" w:rsidRPr="00317DD3" w:rsidRDefault="00C476EB" w:rsidP="00C476EB">
      <w:pPr>
        <w:pStyle w:val="Didascalia"/>
        <w:rPr>
          <w:rFonts w:ascii="Bookman Old Style" w:hAnsi="Bookman Old Style"/>
          <w:sz w:val="22"/>
          <w:szCs w:val="22"/>
        </w:rPr>
      </w:pPr>
      <w:r w:rsidRPr="00317DD3">
        <w:rPr>
          <w:rFonts w:ascii="Bookman Old Style" w:hAnsi="Bookman Old Style"/>
          <w:sz w:val="22"/>
          <w:szCs w:val="22"/>
        </w:rPr>
        <w:lastRenderedPageBreak/>
        <w:t xml:space="preserve">Tabella </w:t>
      </w:r>
      <w:r w:rsidRPr="00317DD3">
        <w:rPr>
          <w:rFonts w:ascii="Bookman Old Style" w:hAnsi="Bookman Old Style"/>
          <w:sz w:val="22"/>
          <w:szCs w:val="22"/>
        </w:rPr>
        <w:fldChar w:fldCharType="begin"/>
      </w:r>
      <w:r w:rsidRPr="00317DD3">
        <w:rPr>
          <w:rFonts w:ascii="Bookman Old Style" w:hAnsi="Bookman Old Style"/>
          <w:sz w:val="22"/>
          <w:szCs w:val="22"/>
        </w:rPr>
        <w:instrText xml:space="preserve"> SEQ Tabella \* ARABIC </w:instrText>
      </w:r>
      <w:r w:rsidRPr="00317DD3">
        <w:rPr>
          <w:rFonts w:ascii="Bookman Old Style" w:hAnsi="Bookman Old Style"/>
          <w:sz w:val="22"/>
          <w:szCs w:val="22"/>
        </w:rPr>
        <w:fldChar w:fldCharType="separate"/>
      </w:r>
      <w:r w:rsidR="00E66E6B">
        <w:rPr>
          <w:rFonts w:ascii="Bookman Old Style" w:hAnsi="Bookman Old Style"/>
          <w:noProof/>
          <w:sz w:val="22"/>
          <w:szCs w:val="22"/>
        </w:rPr>
        <w:t>2</w:t>
      </w:r>
      <w:r w:rsidRPr="00317DD3">
        <w:rPr>
          <w:rFonts w:ascii="Bookman Old Style" w:hAnsi="Bookman Old Style"/>
          <w:noProof/>
          <w:sz w:val="22"/>
          <w:szCs w:val="22"/>
        </w:rPr>
        <w:fldChar w:fldCharType="end"/>
      </w:r>
      <w:r w:rsidRPr="00317DD3">
        <w:rPr>
          <w:rFonts w:ascii="Bookman Old Style" w:hAnsi="Bookman Old Style"/>
          <w:sz w:val="22"/>
          <w:szCs w:val="22"/>
        </w:rPr>
        <w:t>. Rappresentanza di genere nelle giunte comunali, 2024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2"/>
        <w:gridCol w:w="1361"/>
        <w:gridCol w:w="1074"/>
        <w:gridCol w:w="1361"/>
        <w:gridCol w:w="1074"/>
        <w:gridCol w:w="1216"/>
      </w:tblGrid>
      <w:tr w:rsidR="00C476EB" w:rsidRPr="00317DD3" w14:paraId="36D8BEE6" w14:textId="77777777" w:rsidTr="00851A6A">
        <w:trPr>
          <w:trHeight w:val="264"/>
        </w:trPr>
        <w:tc>
          <w:tcPr>
            <w:tcW w:w="184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center"/>
            <w:hideMark/>
          </w:tcPr>
          <w:p w14:paraId="549D2815" w14:textId="77777777" w:rsidR="00C476EB" w:rsidRPr="00317DD3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317DD3"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  <w:t>Donne assessore</w:t>
            </w:r>
          </w:p>
        </w:tc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2C1780CD" w14:textId="77777777" w:rsidR="00C476EB" w:rsidRPr="00317DD3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317DD3"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  <w:t>Donne</w:t>
            </w:r>
          </w:p>
        </w:tc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CB503C7" w14:textId="77777777" w:rsidR="00C476EB" w:rsidRPr="00317DD3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317DD3"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  <w:t>Uomini</w:t>
            </w:r>
          </w:p>
        </w:tc>
        <w:tc>
          <w:tcPr>
            <w:tcW w:w="63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14:paraId="675EB1D2" w14:textId="77777777" w:rsidR="00C476EB" w:rsidRPr="00317DD3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317DD3"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  <w:t>Totale</w:t>
            </w:r>
          </w:p>
        </w:tc>
      </w:tr>
      <w:tr w:rsidR="00C476EB" w:rsidRPr="00317DD3" w14:paraId="5E46D182" w14:textId="77777777" w:rsidTr="00851A6A">
        <w:trPr>
          <w:trHeight w:val="264"/>
        </w:trPr>
        <w:tc>
          <w:tcPr>
            <w:tcW w:w="18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04FD4" w14:textId="77777777" w:rsidR="00C476EB" w:rsidRPr="00317DD3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56A33C6D" w14:textId="77777777" w:rsidR="00C476EB" w:rsidRPr="00317DD3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317DD3"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  <w:t>v.a.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4F51F538" w14:textId="77777777" w:rsidR="00C476EB" w:rsidRPr="00317DD3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317DD3"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6393419" w14:textId="77777777" w:rsidR="00C476EB" w:rsidRPr="00317DD3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317DD3"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  <w:t>v.a.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2B9052E3" w14:textId="77777777" w:rsidR="00C476EB" w:rsidRPr="00317DD3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317DD3"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63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8A3F5" w14:textId="77777777" w:rsidR="00C476EB" w:rsidRPr="00317DD3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</w:tr>
      <w:tr w:rsidR="00C476EB" w:rsidRPr="00317DD3" w14:paraId="1AAC105F" w14:textId="77777777" w:rsidTr="00851A6A">
        <w:trPr>
          <w:trHeight w:val="264"/>
        </w:trPr>
        <w:tc>
          <w:tcPr>
            <w:tcW w:w="18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4A75" w14:textId="77777777" w:rsidR="00C476EB" w:rsidRPr="00317DD3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317D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Comuni &gt; 3.000 abitanti</w:t>
            </w:r>
          </w:p>
        </w:tc>
        <w:tc>
          <w:tcPr>
            <w:tcW w:w="7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495E" w14:textId="77777777" w:rsidR="00C476EB" w:rsidRPr="00317DD3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317D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5.835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4CF9" w14:textId="77777777" w:rsidR="00C476EB" w:rsidRPr="00317DD3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317D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47,2</w:t>
            </w:r>
          </w:p>
        </w:tc>
        <w:tc>
          <w:tcPr>
            <w:tcW w:w="7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E4A5" w14:textId="77777777" w:rsidR="00C476EB" w:rsidRPr="00317DD3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317D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6.530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5A71" w14:textId="77777777" w:rsidR="00C476EB" w:rsidRPr="00317DD3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317D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52,8</w:t>
            </w:r>
          </w:p>
        </w:tc>
        <w:tc>
          <w:tcPr>
            <w:tcW w:w="6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8C59" w14:textId="77777777" w:rsidR="00C476EB" w:rsidRPr="00317DD3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317D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12.365</w:t>
            </w:r>
          </w:p>
        </w:tc>
      </w:tr>
      <w:tr w:rsidR="00C476EB" w:rsidRPr="00317DD3" w14:paraId="2F3C94B6" w14:textId="77777777" w:rsidTr="00851A6A">
        <w:trPr>
          <w:trHeight w:val="264"/>
        </w:trPr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CBE6A" w14:textId="77777777" w:rsidR="00C476EB" w:rsidRPr="00317DD3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317D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Comuni &lt;= 3.000 abitanti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1C14C" w14:textId="77777777" w:rsidR="00C476EB" w:rsidRPr="00317DD3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317D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2.535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163D1" w14:textId="77777777" w:rsidR="00C476EB" w:rsidRPr="00317DD3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317D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42,3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F0F48" w14:textId="77777777" w:rsidR="00C476EB" w:rsidRPr="00317DD3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317D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3.465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A2C80" w14:textId="77777777" w:rsidR="00C476EB" w:rsidRPr="00317DD3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317D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57,8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A0131" w14:textId="77777777" w:rsidR="00C476EB" w:rsidRPr="00317DD3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317D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6.000</w:t>
            </w:r>
          </w:p>
        </w:tc>
      </w:tr>
    </w:tbl>
    <w:p w14:paraId="4221D0C6" w14:textId="77777777" w:rsidR="00C476EB" w:rsidRPr="009B6E52" w:rsidRDefault="00C476EB" w:rsidP="00C476EB">
      <w:pPr>
        <w:pStyle w:val="Fonte"/>
        <w:rPr>
          <w:rFonts w:ascii="Bookman Old Style" w:hAnsi="Bookman Old Style" w:cs="Georgia"/>
          <w:sz w:val="20"/>
          <w:szCs w:val="20"/>
        </w:rPr>
      </w:pPr>
      <w:r w:rsidRPr="009B6E52">
        <w:rPr>
          <w:rFonts w:ascii="Bookman Old Style" w:hAnsi="Bookman Old Style"/>
          <w:sz w:val="20"/>
          <w:szCs w:val="20"/>
        </w:rPr>
        <w:t>Fonte: elaborazioni ANCI su dati Ministero dell’Interno</w:t>
      </w:r>
    </w:p>
    <w:p w14:paraId="5E1D853A" w14:textId="5EAD6EF1" w:rsidR="00C476EB" w:rsidRPr="00317DD3" w:rsidRDefault="00C476EB" w:rsidP="00C476EB">
      <w:pPr>
        <w:pStyle w:val="Didascalia"/>
        <w:rPr>
          <w:rFonts w:ascii="Bookman Old Style" w:hAnsi="Bookman Old Style"/>
          <w:sz w:val="22"/>
          <w:szCs w:val="22"/>
        </w:rPr>
      </w:pPr>
      <w:r w:rsidRPr="00317DD3">
        <w:rPr>
          <w:rFonts w:ascii="Bookman Old Style" w:hAnsi="Bookman Old Style"/>
          <w:sz w:val="22"/>
          <w:szCs w:val="22"/>
        </w:rPr>
        <w:t xml:space="preserve">Tabella </w:t>
      </w:r>
      <w:r w:rsidRPr="00317DD3">
        <w:rPr>
          <w:rFonts w:ascii="Bookman Old Style" w:hAnsi="Bookman Old Style"/>
          <w:sz w:val="22"/>
          <w:szCs w:val="22"/>
        </w:rPr>
        <w:fldChar w:fldCharType="begin"/>
      </w:r>
      <w:r w:rsidRPr="00317DD3">
        <w:rPr>
          <w:rFonts w:ascii="Bookman Old Style" w:hAnsi="Bookman Old Style"/>
          <w:sz w:val="22"/>
          <w:szCs w:val="22"/>
        </w:rPr>
        <w:instrText xml:space="preserve"> SEQ Tabella \* ARABIC </w:instrText>
      </w:r>
      <w:r w:rsidRPr="00317DD3">
        <w:rPr>
          <w:rFonts w:ascii="Bookman Old Style" w:hAnsi="Bookman Old Style"/>
          <w:sz w:val="22"/>
          <w:szCs w:val="22"/>
        </w:rPr>
        <w:fldChar w:fldCharType="separate"/>
      </w:r>
      <w:r w:rsidR="00E66E6B">
        <w:rPr>
          <w:rFonts w:ascii="Bookman Old Style" w:hAnsi="Bookman Old Style"/>
          <w:noProof/>
          <w:sz w:val="22"/>
          <w:szCs w:val="22"/>
        </w:rPr>
        <w:t>3</w:t>
      </w:r>
      <w:r w:rsidRPr="00317DD3">
        <w:rPr>
          <w:rFonts w:ascii="Bookman Old Style" w:hAnsi="Bookman Old Style"/>
          <w:noProof/>
          <w:sz w:val="22"/>
          <w:szCs w:val="22"/>
        </w:rPr>
        <w:fldChar w:fldCharType="end"/>
      </w:r>
      <w:r w:rsidRPr="00317DD3">
        <w:rPr>
          <w:rFonts w:ascii="Bookman Old Style" w:hAnsi="Bookman Old Style"/>
          <w:sz w:val="22"/>
          <w:szCs w:val="22"/>
        </w:rPr>
        <w:t>. Cariche elettive e cariche nominali – Donne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8"/>
        <w:gridCol w:w="2120"/>
      </w:tblGrid>
      <w:tr w:rsidR="00C476EB" w:rsidRPr="00256942" w14:paraId="396702C6" w14:textId="77777777" w:rsidTr="00851A6A">
        <w:trPr>
          <w:trHeight w:val="288"/>
        </w:trPr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2D8CE37B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0FF9E42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 </w:t>
            </w:r>
          </w:p>
        </w:tc>
      </w:tr>
      <w:tr w:rsidR="00C476EB" w:rsidRPr="00256942" w14:paraId="2BF90D44" w14:textId="77777777" w:rsidTr="00851A6A">
        <w:trPr>
          <w:trHeight w:val="288"/>
        </w:trPr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33A1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Cariche elettive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8F30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69,9</w:t>
            </w:r>
          </w:p>
        </w:tc>
      </w:tr>
      <w:tr w:rsidR="00C476EB" w:rsidRPr="00256942" w14:paraId="34D5538B" w14:textId="77777777" w:rsidTr="00851A6A">
        <w:trPr>
          <w:trHeight w:val="288"/>
        </w:trPr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A19A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Cariche nominali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57C0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30,1</w:t>
            </w:r>
          </w:p>
        </w:tc>
      </w:tr>
      <w:tr w:rsidR="00C476EB" w:rsidRPr="00256942" w14:paraId="1CD6AC39" w14:textId="77777777" w:rsidTr="00851A6A">
        <w:trPr>
          <w:trHeight w:val="288"/>
        </w:trPr>
        <w:tc>
          <w:tcPr>
            <w:tcW w:w="39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2B975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  <w:t>Cariche elettive - cariche nominali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1C606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  <w:t>39,9</w:t>
            </w:r>
          </w:p>
        </w:tc>
      </w:tr>
    </w:tbl>
    <w:p w14:paraId="7299CA97" w14:textId="77777777" w:rsidR="00C476EB" w:rsidRPr="00317DD3" w:rsidRDefault="00C476EB" w:rsidP="0010722A">
      <w:pPr>
        <w:pStyle w:val="Fonte"/>
        <w:spacing w:after="0"/>
        <w:rPr>
          <w:rFonts w:ascii="Bookman Old Style" w:hAnsi="Bookman Old Style"/>
          <w:sz w:val="20"/>
          <w:szCs w:val="20"/>
        </w:rPr>
      </w:pPr>
      <w:r w:rsidRPr="00317DD3">
        <w:rPr>
          <w:rFonts w:ascii="Bookman Old Style" w:hAnsi="Bookman Old Style"/>
          <w:sz w:val="20"/>
          <w:szCs w:val="20"/>
        </w:rPr>
        <w:t>Fonte: elaborazioni ANCI su dati Ministero dell’Interno</w:t>
      </w:r>
    </w:p>
    <w:p w14:paraId="130A7494" w14:textId="77777777" w:rsidR="0010722A" w:rsidRDefault="0010722A" w:rsidP="007B4DA6">
      <w:pPr>
        <w:jc w:val="both"/>
        <w:rPr>
          <w:rFonts w:ascii="Bookman Old Style" w:hAnsi="Bookman Old Style"/>
        </w:rPr>
      </w:pPr>
    </w:p>
    <w:p w14:paraId="2B6628CB" w14:textId="3E3504EB" w:rsidR="00147998" w:rsidRPr="00256942" w:rsidRDefault="00147998" w:rsidP="007B4DA6">
      <w:pPr>
        <w:jc w:val="both"/>
        <w:rPr>
          <w:rFonts w:ascii="Bookman Old Style" w:hAnsi="Bookman Old Style"/>
        </w:rPr>
      </w:pPr>
      <w:r w:rsidRPr="00147998">
        <w:rPr>
          <w:rFonts w:ascii="Bookman Old Style" w:hAnsi="Bookman Old Style"/>
        </w:rPr>
        <w:t xml:space="preserve">La distribuzione territoriale della rappresentanza femminile tra gli amministratori locali evidenzia una maggiore presenza di donne al Nord e al Centro rispetto al Sud e alle isole. Nelle regioni del Nord-Est le donne amministratrici rappresentano il 36,6% del totale, seguite dal Nord-Ovest con il 34,5% e dal Centro con il 35,4%. Al Sud e nelle isole, la percentuale di donne amministratrici scende al 31,7%, risultando quindi leggermente inferiore rispetto al resto del paese. </w:t>
      </w:r>
    </w:p>
    <w:p w14:paraId="794A04E7" w14:textId="2D290037" w:rsidR="00C476EB" w:rsidRPr="00317DD3" w:rsidRDefault="00C476EB" w:rsidP="00C476EB">
      <w:pPr>
        <w:pStyle w:val="Didascalia"/>
        <w:rPr>
          <w:rFonts w:ascii="Bookman Old Style" w:hAnsi="Bookman Old Style"/>
          <w:sz w:val="22"/>
          <w:szCs w:val="22"/>
        </w:rPr>
      </w:pPr>
      <w:r w:rsidRPr="00317DD3">
        <w:rPr>
          <w:rFonts w:ascii="Bookman Old Style" w:hAnsi="Bookman Old Style"/>
          <w:sz w:val="22"/>
          <w:szCs w:val="22"/>
        </w:rPr>
        <w:t xml:space="preserve">Tabella </w:t>
      </w:r>
      <w:r w:rsidRPr="00317DD3">
        <w:rPr>
          <w:rFonts w:ascii="Bookman Old Style" w:hAnsi="Bookman Old Style"/>
          <w:sz w:val="22"/>
          <w:szCs w:val="22"/>
        </w:rPr>
        <w:fldChar w:fldCharType="begin"/>
      </w:r>
      <w:r w:rsidRPr="00317DD3">
        <w:rPr>
          <w:rFonts w:ascii="Bookman Old Style" w:hAnsi="Bookman Old Style"/>
          <w:sz w:val="22"/>
          <w:szCs w:val="22"/>
        </w:rPr>
        <w:instrText xml:space="preserve"> SEQ Tabella \* ARABIC </w:instrText>
      </w:r>
      <w:r w:rsidRPr="00317DD3">
        <w:rPr>
          <w:rFonts w:ascii="Bookman Old Style" w:hAnsi="Bookman Old Style"/>
          <w:sz w:val="22"/>
          <w:szCs w:val="22"/>
        </w:rPr>
        <w:fldChar w:fldCharType="separate"/>
      </w:r>
      <w:r w:rsidR="00E66E6B">
        <w:rPr>
          <w:rFonts w:ascii="Bookman Old Style" w:hAnsi="Bookman Old Style"/>
          <w:noProof/>
          <w:sz w:val="22"/>
          <w:szCs w:val="22"/>
        </w:rPr>
        <w:t>4</w:t>
      </w:r>
      <w:r w:rsidRPr="00317DD3">
        <w:rPr>
          <w:rFonts w:ascii="Bookman Old Style" w:hAnsi="Bookman Old Style"/>
          <w:noProof/>
          <w:sz w:val="22"/>
          <w:szCs w:val="22"/>
        </w:rPr>
        <w:fldChar w:fldCharType="end"/>
      </w:r>
      <w:r w:rsidRPr="00317DD3">
        <w:rPr>
          <w:rFonts w:ascii="Bookman Old Style" w:hAnsi="Bookman Old Style"/>
          <w:sz w:val="22"/>
          <w:szCs w:val="22"/>
        </w:rPr>
        <w:t>. Ripartizione geografica degli amministratori, per genere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307"/>
        <w:gridCol w:w="1307"/>
        <w:gridCol w:w="1376"/>
        <w:gridCol w:w="1145"/>
        <w:gridCol w:w="1143"/>
      </w:tblGrid>
      <w:tr w:rsidR="00C476EB" w:rsidRPr="00256942" w14:paraId="4E502554" w14:textId="77777777" w:rsidTr="00851A6A">
        <w:trPr>
          <w:trHeight w:val="264"/>
        </w:trPr>
        <w:tc>
          <w:tcPr>
            <w:tcW w:w="174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14:paraId="27AB12CC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Ripartizione geografica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68FCDFC4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Donne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4821633B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Uomini</w:t>
            </w:r>
          </w:p>
        </w:tc>
        <w:tc>
          <w:tcPr>
            <w:tcW w:w="5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14:paraId="43E8A008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Totale</w:t>
            </w:r>
          </w:p>
        </w:tc>
      </w:tr>
      <w:tr w:rsidR="00C476EB" w:rsidRPr="00256942" w14:paraId="0450E9A2" w14:textId="77777777" w:rsidTr="00851A6A">
        <w:trPr>
          <w:trHeight w:val="264"/>
        </w:trPr>
        <w:tc>
          <w:tcPr>
            <w:tcW w:w="17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4D9DC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7C16BEA9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v.a.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0F9D4F69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20FC25EB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v.a.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044779BF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59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651E7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</w:p>
        </w:tc>
      </w:tr>
      <w:tr w:rsidR="00C476EB" w:rsidRPr="00256942" w14:paraId="2D25B753" w14:textId="77777777" w:rsidTr="00851A6A">
        <w:trPr>
          <w:trHeight w:val="264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F8FBE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Nord-Ovest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A4616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12.948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FA092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34,5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FCE12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24.581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13186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65,5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C93C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37.529</w:t>
            </w:r>
          </w:p>
        </w:tc>
      </w:tr>
      <w:tr w:rsidR="00C476EB" w:rsidRPr="00256942" w14:paraId="77C56C7F" w14:textId="77777777" w:rsidTr="00851A6A">
        <w:trPr>
          <w:trHeight w:val="264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6AB4C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Nord-Est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63950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7.542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1561A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36,6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10B72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13.038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0F2BF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63,4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7D86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20.580</w:t>
            </w:r>
          </w:p>
        </w:tc>
      </w:tr>
      <w:tr w:rsidR="00C476EB" w:rsidRPr="00256942" w14:paraId="5334E5F7" w14:textId="77777777" w:rsidTr="00851A6A">
        <w:trPr>
          <w:trHeight w:val="264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036C6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Centro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246D7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4.996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451CA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35,4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28841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9.133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1DF3C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64,6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CE6C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14.129</w:t>
            </w:r>
          </w:p>
        </w:tc>
      </w:tr>
      <w:tr w:rsidR="00C476EB" w:rsidRPr="00256942" w14:paraId="0C3F7BE5" w14:textId="77777777" w:rsidTr="00851A6A">
        <w:trPr>
          <w:trHeight w:val="264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721AD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Sud e Isole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3C7BC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11.236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241A0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31,7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C7828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24.168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A78FD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68,3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4F51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35.404</w:t>
            </w:r>
          </w:p>
        </w:tc>
      </w:tr>
      <w:tr w:rsidR="00C476EB" w:rsidRPr="00256942" w14:paraId="2203247A" w14:textId="77777777" w:rsidTr="00851A6A">
        <w:trPr>
          <w:trHeight w:val="264"/>
        </w:trPr>
        <w:tc>
          <w:tcPr>
            <w:tcW w:w="17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0ACC5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104B1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36.722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DCF58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34,1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84307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70.920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823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65,9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67353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107.642</w:t>
            </w:r>
          </w:p>
        </w:tc>
      </w:tr>
    </w:tbl>
    <w:p w14:paraId="6D9B1051" w14:textId="77777777" w:rsidR="00C476EB" w:rsidRPr="00317DD3" w:rsidRDefault="00C476EB" w:rsidP="00C476EB">
      <w:pPr>
        <w:pStyle w:val="Fonte"/>
        <w:rPr>
          <w:rFonts w:ascii="Bookman Old Style" w:hAnsi="Bookman Old Style" w:cs="Georgia"/>
          <w:sz w:val="20"/>
          <w:szCs w:val="20"/>
        </w:rPr>
      </w:pPr>
      <w:r w:rsidRPr="00317DD3">
        <w:rPr>
          <w:rFonts w:ascii="Bookman Old Style" w:hAnsi="Bookman Old Style"/>
          <w:sz w:val="20"/>
          <w:szCs w:val="20"/>
        </w:rPr>
        <w:t>Fonte: elaborazioni ANCI su dati Ministero dell’Interno</w:t>
      </w:r>
    </w:p>
    <w:p w14:paraId="70CDF5E0" w14:textId="2BF385FF" w:rsidR="00C476EB" w:rsidRDefault="00C476EB" w:rsidP="00FA1A8F">
      <w:pPr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</w:rPr>
        <w:t>Incrociando i dati sulla ripartizione geografica e sulla carica, notiamo un netto divario territoriale relativamente al numero di Sindache, giacché in questo caso le amministratrici del nord ovest rappresentano quasi la metà delle prime cittadine italiane (43%); analogamente per le Vice sindache, prevalenti sempre nel nord ovest del paese. Al contrario la carica di Presidente del Consiglio comunale è prevalente nel sud e nelle isole dove raggiunge il 54%. Nel caso delle altre cariche, invece, il divario è meno netto</w:t>
      </w:r>
      <w:r w:rsidR="00FA1A8F">
        <w:rPr>
          <w:rFonts w:ascii="Bookman Old Style" w:hAnsi="Bookman Old Style"/>
        </w:rPr>
        <w:t>.</w:t>
      </w:r>
    </w:p>
    <w:p w14:paraId="126137F1" w14:textId="77777777" w:rsidR="00DD41F9" w:rsidRPr="00256942" w:rsidRDefault="00DD41F9" w:rsidP="00FA1A8F">
      <w:pPr>
        <w:jc w:val="both"/>
        <w:rPr>
          <w:rFonts w:ascii="Bookman Old Style" w:hAnsi="Bookman Old Style"/>
        </w:rPr>
      </w:pPr>
    </w:p>
    <w:p w14:paraId="285E755B" w14:textId="3158A3D8" w:rsidR="00C476EB" w:rsidRPr="00317DD3" w:rsidRDefault="00C476EB" w:rsidP="00C476EB">
      <w:pPr>
        <w:pStyle w:val="Didascalia"/>
        <w:rPr>
          <w:rFonts w:ascii="Bookman Old Style" w:hAnsi="Bookman Old Style"/>
          <w:sz w:val="22"/>
          <w:szCs w:val="22"/>
        </w:rPr>
      </w:pPr>
      <w:r w:rsidRPr="00317DD3">
        <w:rPr>
          <w:rFonts w:ascii="Bookman Old Style" w:hAnsi="Bookman Old Style"/>
          <w:sz w:val="22"/>
          <w:szCs w:val="22"/>
        </w:rPr>
        <w:lastRenderedPageBreak/>
        <w:t xml:space="preserve">Tabella </w:t>
      </w:r>
      <w:r w:rsidRPr="00317DD3">
        <w:rPr>
          <w:rFonts w:ascii="Bookman Old Style" w:hAnsi="Bookman Old Style"/>
          <w:sz w:val="22"/>
          <w:szCs w:val="22"/>
        </w:rPr>
        <w:fldChar w:fldCharType="begin"/>
      </w:r>
      <w:r w:rsidRPr="00317DD3">
        <w:rPr>
          <w:rFonts w:ascii="Bookman Old Style" w:hAnsi="Bookman Old Style"/>
          <w:sz w:val="22"/>
          <w:szCs w:val="22"/>
        </w:rPr>
        <w:instrText xml:space="preserve"> SEQ Tabella \* ARABIC </w:instrText>
      </w:r>
      <w:r w:rsidRPr="00317DD3">
        <w:rPr>
          <w:rFonts w:ascii="Bookman Old Style" w:hAnsi="Bookman Old Style"/>
          <w:sz w:val="22"/>
          <w:szCs w:val="22"/>
        </w:rPr>
        <w:fldChar w:fldCharType="separate"/>
      </w:r>
      <w:r w:rsidR="00E66E6B">
        <w:rPr>
          <w:rFonts w:ascii="Bookman Old Style" w:hAnsi="Bookman Old Style"/>
          <w:noProof/>
          <w:sz w:val="22"/>
          <w:szCs w:val="22"/>
        </w:rPr>
        <w:t>5</w:t>
      </w:r>
      <w:r w:rsidRPr="00317DD3">
        <w:rPr>
          <w:rFonts w:ascii="Bookman Old Style" w:hAnsi="Bookman Old Style"/>
          <w:noProof/>
          <w:sz w:val="22"/>
          <w:szCs w:val="22"/>
        </w:rPr>
        <w:fldChar w:fldCharType="end"/>
      </w:r>
      <w:r w:rsidRPr="00317DD3">
        <w:rPr>
          <w:rFonts w:ascii="Bookman Old Style" w:hAnsi="Bookman Old Style"/>
          <w:sz w:val="22"/>
          <w:szCs w:val="22"/>
        </w:rPr>
        <w:t>. Ripartizione geografica e carica – Donne (valori percentuali)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943"/>
        <w:gridCol w:w="1421"/>
        <w:gridCol w:w="1113"/>
        <w:gridCol w:w="2636"/>
        <w:gridCol w:w="1256"/>
      </w:tblGrid>
      <w:tr w:rsidR="00C476EB" w:rsidRPr="00256942" w14:paraId="2A89F34E" w14:textId="77777777" w:rsidTr="00851A6A">
        <w:trPr>
          <w:trHeight w:val="264"/>
        </w:trPr>
        <w:tc>
          <w:tcPr>
            <w:tcW w:w="11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bottom"/>
            <w:hideMark/>
          </w:tcPr>
          <w:p w14:paraId="4AC8FBF3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Ripartizione geografica</w:t>
            </w:r>
          </w:p>
        </w:tc>
        <w:tc>
          <w:tcPr>
            <w:tcW w:w="38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B767597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Carica</w:t>
            </w:r>
          </w:p>
        </w:tc>
      </w:tr>
      <w:tr w:rsidR="00C476EB" w:rsidRPr="00256942" w14:paraId="7017D95C" w14:textId="77777777" w:rsidTr="00851A6A">
        <w:trPr>
          <w:trHeight w:val="528"/>
        </w:trPr>
        <w:tc>
          <w:tcPr>
            <w:tcW w:w="11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7BBD3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FFD41E1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Sindaca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51D51F5E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Vicesindaca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78212FB0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Assessora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2C2F6B46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Presidente del consiglio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32332B7B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Consigliera</w:t>
            </w:r>
          </w:p>
        </w:tc>
      </w:tr>
      <w:tr w:rsidR="00C476EB" w:rsidRPr="00256942" w14:paraId="032C1DD8" w14:textId="77777777" w:rsidTr="00851A6A">
        <w:trPr>
          <w:trHeight w:val="252"/>
        </w:trPr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89CB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Nord-Ovest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15D2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43,2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1AC3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40,8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A640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30,8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9EF2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17,2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7E82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36,2</w:t>
            </w:r>
          </w:p>
        </w:tc>
      </w:tr>
      <w:tr w:rsidR="00C476EB" w:rsidRPr="00256942" w14:paraId="34D83300" w14:textId="77777777" w:rsidTr="00851A6A">
        <w:trPr>
          <w:trHeight w:val="264"/>
        </w:trPr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8810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Nord-Est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A82D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22,0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B96F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19,6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D786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22,3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27CB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14,7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50D1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20,1</w:t>
            </w:r>
          </w:p>
        </w:tc>
      </w:tr>
      <w:tr w:rsidR="00C476EB" w:rsidRPr="00256942" w14:paraId="6546986C" w14:textId="77777777" w:rsidTr="00851A6A">
        <w:trPr>
          <w:trHeight w:val="264"/>
        </w:trPr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F01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Centro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C88E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12,9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DEB4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11,9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879D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13,7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8546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14,1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B65A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13,8</w:t>
            </w:r>
          </w:p>
        </w:tc>
      </w:tr>
      <w:tr w:rsidR="00C476EB" w:rsidRPr="00256942" w14:paraId="04AC1220" w14:textId="77777777" w:rsidTr="00317DD3">
        <w:trPr>
          <w:trHeight w:val="184"/>
        </w:trPr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5FA4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Sud e Isole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12CF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21,9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6F2E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27,7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2BB3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33,2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52C2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54,0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C96C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30,0</w:t>
            </w:r>
          </w:p>
        </w:tc>
      </w:tr>
      <w:tr w:rsidR="00C476EB" w:rsidRPr="00256942" w14:paraId="3E33ABD0" w14:textId="77777777" w:rsidTr="00317DD3">
        <w:trPr>
          <w:trHeight w:val="208"/>
        </w:trPr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FF997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6F6E4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A44ED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2DF23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70D8B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F6071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100,0</w:t>
            </w:r>
          </w:p>
        </w:tc>
      </w:tr>
    </w:tbl>
    <w:p w14:paraId="5F531F74" w14:textId="77777777" w:rsidR="00C476EB" w:rsidRPr="00317DD3" w:rsidRDefault="00C476EB" w:rsidP="00317DD3">
      <w:pPr>
        <w:pStyle w:val="Fonte"/>
        <w:spacing w:after="0"/>
        <w:rPr>
          <w:rFonts w:ascii="Bookman Old Style" w:hAnsi="Bookman Old Style"/>
          <w:sz w:val="20"/>
          <w:szCs w:val="20"/>
        </w:rPr>
      </w:pPr>
      <w:r w:rsidRPr="00317DD3">
        <w:rPr>
          <w:rFonts w:ascii="Bookman Old Style" w:hAnsi="Bookman Old Style"/>
          <w:sz w:val="20"/>
          <w:szCs w:val="20"/>
        </w:rPr>
        <w:t>Fonte: elaborazioni ANCI su dati Ministero dell’Interno</w:t>
      </w:r>
    </w:p>
    <w:p w14:paraId="4C31E74F" w14:textId="77777777" w:rsidR="00317DD3" w:rsidRPr="00B176AF" w:rsidRDefault="00317DD3" w:rsidP="00FA1A8F">
      <w:pPr>
        <w:jc w:val="both"/>
        <w:rPr>
          <w:rFonts w:ascii="Bookman Old Style" w:hAnsi="Bookman Old Style"/>
          <w:sz w:val="16"/>
          <w:szCs w:val="16"/>
        </w:rPr>
      </w:pPr>
    </w:p>
    <w:p w14:paraId="12EA9DA1" w14:textId="2035D4D0" w:rsidR="00C476EB" w:rsidRPr="00B176AF" w:rsidRDefault="00C476EB" w:rsidP="00FA1A8F">
      <w:pPr>
        <w:jc w:val="both"/>
        <w:rPr>
          <w:rFonts w:ascii="Bookman Old Style" w:hAnsi="Bookman Old Style"/>
          <w:sz w:val="16"/>
          <w:szCs w:val="16"/>
        </w:rPr>
      </w:pPr>
      <w:r w:rsidRPr="00256942">
        <w:rPr>
          <w:rFonts w:ascii="Bookman Old Style" w:hAnsi="Bookman Old Style"/>
        </w:rPr>
        <w:t>In rapporto alla classe di ampiezza dei Comuni, si nota che la componente femminile pesa maggiormente nei comuni medio-piccoli (tra i 3mila e i 15mila abitanti), Al contrario, più bassa è l’incidenza nei comuni piccoli e grandi.</w:t>
      </w:r>
    </w:p>
    <w:p w14:paraId="4DADDFF6" w14:textId="406B29F3" w:rsidR="00C476EB" w:rsidRPr="00317DD3" w:rsidRDefault="00C476EB" w:rsidP="004D6076">
      <w:pPr>
        <w:pStyle w:val="Didascalia"/>
        <w:spacing w:before="0"/>
        <w:rPr>
          <w:rFonts w:ascii="Bookman Old Style" w:hAnsi="Bookman Old Style"/>
          <w:sz w:val="22"/>
          <w:szCs w:val="22"/>
        </w:rPr>
      </w:pPr>
      <w:r w:rsidRPr="00317DD3">
        <w:rPr>
          <w:rFonts w:ascii="Bookman Old Style" w:hAnsi="Bookman Old Style"/>
          <w:sz w:val="22"/>
          <w:szCs w:val="22"/>
        </w:rPr>
        <w:t xml:space="preserve">Tabella </w:t>
      </w:r>
      <w:r w:rsidRPr="00317DD3">
        <w:rPr>
          <w:rFonts w:ascii="Bookman Old Style" w:hAnsi="Bookman Old Style"/>
          <w:sz w:val="22"/>
          <w:szCs w:val="22"/>
        </w:rPr>
        <w:fldChar w:fldCharType="begin"/>
      </w:r>
      <w:r w:rsidRPr="00317DD3">
        <w:rPr>
          <w:rFonts w:ascii="Bookman Old Style" w:hAnsi="Bookman Old Style"/>
          <w:sz w:val="22"/>
          <w:szCs w:val="22"/>
        </w:rPr>
        <w:instrText xml:space="preserve"> SEQ Tabella \* ARABIC </w:instrText>
      </w:r>
      <w:r w:rsidRPr="00317DD3">
        <w:rPr>
          <w:rFonts w:ascii="Bookman Old Style" w:hAnsi="Bookman Old Style"/>
          <w:sz w:val="22"/>
          <w:szCs w:val="22"/>
        </w:rPr>
        <w:fldChar w:fldCharType="separate"/>
      </w:r>
      <w:r w:rsidR="00E66E6B">
        <w:rPr>
          <w:rFonts w:ascii="Bookman Old Style" w:hAnsi="Bookman Old Style"/>
          <w:noProof/>
          <w:sz w:val="22"/>
          <w:szCs w:val="22"/>
        </w:rPr>
        <w:t>6</w:t>
      </w:r>
      <w:r w:rsidRPr="00317DD3">
        <w:rPr>
          <w:rFonts w:ascii="Bookman Old Style" w:hAnsi="Bookman Old Style"/>
          <w:noProof/>
          <w:sz w:val="22"/>
          <w:szCs w:val="22"/>
        </w:rPr>
        <w:fldChar w:fldCharType="end"/>
      </w:r>
      <w:r w:rsidRPr="00317DD3">
        <w:rPr>
          <w:rFonts w:ascii="Bookman Old Style" w:hAnsi="Bookman Old Style"/>
          <w:sz w:val="22"/>
          <w:szCs w:val="22"/>
        </w:rPr>
        <w:t>. Ripartizione per genere e per dimensione comunale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1"/>
        <w:gridCol w:w="1505"/>
        <w:gridCol w:w="983"/>
        <w:gridCol w:w="1505"/>
        <w:gridCol w:w="983"/>
        <w:gridCol w:w="1241"/>
      </w:tblGrid>
      <w:tr w:rsidR="00C476EB" w:rsidRPr="00256942" w14:paraId="2C735DEF" w14:textId="77777777" w:rsidTr="00851A6A">
        <w:trPr>
          <w:trHeight w:val="300"/>
        </w:trPr>
        <w:tc>
          <w:tcPr>
            <w:tcW w:w="17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center"/>
            <w:hideMark/>
          </w:tcPr>
          <w:p w14:paraId="2275BC3B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Classe di ampiezza demografica</w:t>
            </w:r>
          </w:p>
        </w:tc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9C2F170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Donne</w:t>
            </w:r>
          </w:p>
        </w:tc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66B50C88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Uomini</w:t>
            </w:r>
          </w:p>
        </w:tc>
        <w:tc>
          <w:tcPr>
            <w:tcW w:w="64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14:paraId="4AAEBC1C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Totale</w:t>
            </w:r>
          </w:p>
        </w:tc>
      </w:tr>
      <w:tr w:rsidR="00C476EB" w:rsidRPr="00256942" w14:paraId="3DE5AF94" w14:textId="77777777" w:rsidTr="00851A6A">
        <w:trPr>
          <w:trHeight w:val="288"/>
        </w:trPr>
        <w:tc>
          <w:tcPr>
            <w:tcW w:w="17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7528B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25568B98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v.a.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04360BAE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286AD44D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v.a.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255F4965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6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F5CBD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</w:p>
        </w:tc>
      </w:tr>
      <w:tr w:rsidR="00C476EB" w:rsidRPr="00256942" w14:paraId="56B13C38" w14:textId="77777777" w:rsidTr="00851A6A">
        <w:trPr>
          <w:trHeight w:val="288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9057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&lt;= 3.000 ab.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2FB2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15.330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B48E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31,1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6CD9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34.013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A2B1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68,9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1C52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49.343</w:t>
            </w:r>
          </w:p>
        </w:tc>
      </w:tr>
      <w:tr w:rsidR="00C476EB" w:rsidRPr="00256942" w14:paraId="56B27187" w14:textId="77777777" w:rsidTr="00851A6A">
        <w:trPr>
          <w:trHeight w:val="288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26A7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da 3.001 a 15.000 ab.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CD9A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14.752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6D3A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38,1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3391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23.979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384A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61,9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36F6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38.731</w:t>
            </w:r>
          </w:p>
        </w:tc>
      </w:tr>
      <w:tr w:rsidR="00C476EB" w:rsidRPr="00256942" w14:paraId="0E97AF96" w14:textId="77777777" w:rsidTr="00851A6A">
        <w:trPr>
          <w:trHeight w:val="288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330B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da 15.001 a 50.000 ab.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EF29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4.899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BA47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34,2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3373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9.421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9C2A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65,8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EBD9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14.320</w:t>
            </w:r>
          </w:p>
        </w:tc>
      </w:tr>
      <w:tr w:rsidR="00C476EB" w:rsidRPr="00256942" w14:paraId="2908AA58" w14:textId="77777777" w:rsidTr="00851A6A">
        <w:trPr>
          <w:trHeight w:val="288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D978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da 50.001 a 100.000 ab.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B17A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1.109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69EB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33,2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129E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2.228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24B8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66,8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8136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3.337</w:t>
            </w:r>
          </w:p>
        </w:tc>
      </w:tr>
      <w:tr w:rsidR="00C476EB" w:rsidRPr="00256942" w14:paraId="01A20CF6" w14:textId="77777777" w:rsidTr="00851A6A">
        <w:trPr>
          <w:trHeight w:val="288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AE83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Oltre 100.000 ab.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A870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632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AA26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33,1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6F5D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1.279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0A7F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66,9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5719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1.911</w:t>
            </w:r>
          </w:p>
        </w:tc>
      </w:tr>
      <w:tr w:rsidR="00C476EB" w:rsidRPr="00256942" w14:paraId="4A8DBB35" w14:textId="77777777" w:rsidTr="00851A6A">
        <w:trPr>
          <w:trHeight w:val="264"/>
        </w:trPr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7F9A8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17607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36.722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9C13C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34,1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6FAB4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70.920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CB86A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65,9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B7900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107.642</w:t>
            </w:r>
          </w:p>
        </w:tc>
      </w:tr>
    </w:tbl>
    <w:p w14:paraId="3A53C1A9" w14:textId="77777777" w:rsidR="00C476EB" w:rsidRPr="00FA1A8F" w:rsidRDefault="00C476EB" w:rsidP="0025379E">
      <w:pPr>
        <w:pStyle w:val="Fonte"/>
        <w:spacing w:after="0"/>
        <w:rPr>
          <w:rFonts w:ascii="Bookman Old Style" w:hAnsi="Bookman Old Style" w:cs="Georgia"/>
          <w:sz w:val="20"/>
          <w:szCs w:val="20"/>
        </w:rPr>
      </w:pPr>
      <w:r w:rsidRPr="00FA1A8F">
        <w:rPr>
          <w:rFonts w:ascii="Bookman Old Style" w:hAnsi="Bookman Old Style"/>
          <w:sz w:val="20"/>
          <w:szCs w:val="20"/>
        </w:rPr>
        <w:t>Fonte: elaborazioni ANCI su dati Ministero dell’Interno</w:t>
      </w:r>
    </w:p>
    <w:p w14:paraId="4D6023CD" w14:textId="77777777" w:rsidR="00FA1A8F" w:rsidRPr="0025379E" w:rsidRDefault="00FA1A8F" w:rsidP="00C476EB">
      <w:pPr>
        <w:rPr>
          <w:rFonts w:ascii="Bookman Old Style" w:hAnsi="Bookman Old Style"/>
          <w:sz w:val="16"/>
          <w:szCs w:val="16"/>
        </w:rPr>
      </w:pPr>
    </w:p>
    <w:p w14:paraId="3A394F54" w14:textId="57A76F28" w:rsidR="00C476EB" w:rsidRPr="00B176AF" w:rsidRDefault="00C476EB" w:rsidP="0025379E">
      <w:pPr>
        <w:spacing w:after="0"/>
        <w:jc w:val="both"/>
        <w:rPr>
          <w:rFonts w:ascii="Bookman Old Style" w:hAnsi="Bookman Old Style"/>
          <w:sz w:val="16"/>
          <w:szCs w:val="16"/>
        </w:rPr>
      </w:pPr>
      <w:r w:rsidRPr="00256942">
        <w:rPr>
          <w:rFonts w:ascii="Bookman Old Style" w:hAnsi="Bookman Old Style"/>
        </w:rPr>
        <w:t xml:space="preserve">Se si considera il peso della componente femminile in rapporto alla dimensione demografica dei comuni, si nota che la presenza femminile nella carica di consigliere e assessore è sostanzialmente invariante, mentre per le altre cariche esiste una debole correlazione positiva con la dimensione comunale. </w:t>
      </w:r>
    </w:p>
    <w:p w14:paraId="43A528AD" w14:textId="6E5DF390" w:rsidR="00C476EB" w:rsidRPr="00317DD3" w:rsidRDefault="00C476EB" w:rsidP="004D6076">
      <w:pPr>
        <w:pStyle w:val="Didascalia"/>
        <w:spacing w:before="0"/>
        <w:rPr>
          <w:rFonts w:ascii="Bookman Old Style" w:hAnsi="Bookman Old Style"/>
          <w:sz w:val="22"/>
          <w:szCs w:val="22"/>
        </w:rPr>
      </w:pPr>
      <w:r w:rsidRPr="00317DD3">
        <w:rPr>
          <w:rFonts w:ascii="Bookman Old Style" w:hAnsi="Bookman Old Style"/>
          <w:sz w:val="22"/>
          <w:szCs w:val="22"/>
        </w:rPr>
        <w:t xml:space="preserve">Tabella </w:t>
      </w:r>
      <w:r w:rsidRPr="00317DD3">
        <w:rPr>
          <w:rFonts w:ascii="Bookman Old Style" w:hAnsi="Bookman Old Style"/>
          <w:sz w:val="22"/>
          <w:szCs w:val="22"/>
        </w:rPr>
        <w:fldChar w:fldCharType="begin"/>
      </w:r>
      <w:r w:rsidRPr="00317DD3">
        <w:rPr>
          <w:rFonts w:ascii="Bookman Old Style" w:hAnsi="Bookman Old Style"/>
          <w:sz w:val="22"/>
          <w:szCs w:val="22"/>
        </w:rPr>
        <w:instrText xml:space="preserve"> SEQ Tabella \* ARABIC </w:instrText>
      </w:r>
      <w:r w:rsidRPr="00317DD3">
        <w:rPr>
          <w:rFonts w:ascii="Bookman Old Style" w:hAnsi="Bookman Old Style"/>
          <w:sz w:val="22"/>
          <w:szCs w:val="22"/>
        </w:rPr>
        <w:fldChar w:fldCharType="separate"/>
      </w:r>
      <w:r w:rsidR="00E66E6B">
        <w:rPr>
          <w:rFonts w:ascii="Bookman Old Style" w:hAnsi="Bookman Old Style"/>
          <w:noProof/>
          <w:sz w:val="22"/>
          <w:szCs w:val="22"/>
        </w:rPr>
        <w:t>7</w:t>
      </w:r>
      <w:r w:rsidRPr="00317DD3">
        <w:rPr>
          <w:rFonts w:ascii="Bookman Old Style" w:hAnsi="Bookman Old Style"/>
          <w:noProof/>
          <w:sz w:val="22"/>
          <w:szCs w:val="22"/>
        </w:rPr>
        <w:fldChar w:fldCharType="end"/>
      </w:r>
      <w:r w:rsidRPr="00317DD3">
        <w:rPr>
          <w:rFonts w:ascii="Bookman Old Style" w:hAnsi="Bookman Old Style"/>
          <w:sz w:val="22"/>
          <w:szCs w:val="22"/>
        </w:rPr>
        <w:t>. Ripartizione per dimensione comunale – Donne (valori assoluti)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0"/>
        <w:gridCol w:w="202"/>
        <w:gridCol w:w="658"/>
        <w:gridCol w:w="192"/>
        <w:gridCol w:w="1016"/>
        <w:gridCol w:w="1032"/>
        <w:gridCol w:w="1780"/>
        <w:gridCol w:w="1275"/>
        <w:gridCol w:w="1133"/>
      </w:tblGrid>
      <w:tr w:rsidR="00C476EB" w:rsidRPr="00BB2CA9" w14:paraId="42DB8431" w14:textId="77777777" w:rsidTr="00840246">
        <w:trPr>
          <w:trHeight w:val="264"/>
        </w:trPr>
        <w:tc>
          <w:tcPr>
            <w:tcW w:w="2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center"/>
            <w:hideMark/>
          </w:tcPr>
          <w:p w14:paraId="3216428D" w14:textId="77777777" w:rsidR="00C476EB" w:rsidRPr="00BB2CA9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FFFFFF"/>
                <w:sz w:val="19"/>
                <w:szCs w:val="19"/>
                <w:lang w:eastAsia="it-IT"/>
              </w:rPr>
              <w:t>Classe di ampiezza demografica</w:t>
            </w:r>
          </w:p>
        </w:tc>
        <w:tc>
          <w:tcPr>
            <w:tcW w:w="6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B03DC90" w14:textId="77777777" w:rsidR="00C476EB" w:rsidRPr="00BB2CA9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FFFFFF"/>
                <w:sz w:val="19"/>
                <w:szCs w:val="19"/>
                <w:lang w:eastAsia="it-IT"/>
              </w:rPr>
              <w:t>Carica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14:paraId="7E3142C5" w14:textId="77777777" w:rsidR="00C476EB" w:rsidRPr="00BB2CA9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FFFFFF"/>
                <w:sz w:val="19"/>
                <w:szCs w:val="19"/>
                <w:lang w:eastAsia="it-IT"/>
              </w:rPr>
              <w:t>Totale</w:t>
            </w:r>
          </w:p>
        </w:tc>
      </w:tr>
      <w:tr w:rsidR="00840246" w:rsidRPr="00BB2CA9" w14:paraId="3F57046B" w14:textId="77777777" w:rsidTr="00840246">
        <w:trPr>
          <w:trHeight w:val="264"/>
        </w:trPr>
        <w:tc>
          <w:tcPr>
            <w:tcW w:w="2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B12C1" w14:textId="77777777" w:rsidR="00C476EB" w:rsidRPr="00BB2CA9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FFFFFF"/>
                <w:sz w:val="19"/>
                <w:szCs w:val="19"/>
                <w:lang w:eastAsia="it-IT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78BB76D6" w14:textId="77777777" w:rsidR="00C476EB" w:rsidRPr="00BB2CA9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FFFFFF"/>
                <w:sz w:val="19"/>
                <w:szCs w:val="19"/>
                <w:lang w:eastAsia="it-IT"/>
              </w:rPr>
              <w:t>Sindaca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4ACAF258" w14:textId="77777777" w:rsidR="00C476EB" w:rsidRPr="00BB2CA9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FFFFFF"/>
                <w:sz w:val="19"/>
                <w:szCs w:val="19"/>
                <w:lang w:eastAsia="it-IT"/>
              </w:rPr>
              <w:t>Vicesindaca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66BFE485" w14:textId="77777777" w:rsidR="00C476EB" w:rsidRPr="00BB2CA9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FFFFFF"/>
                <w:sz w:val="19"/>
                <w:szCs w:val="19"/>
                <w:lang w:eastAsia="it-IT"/>
              </w:rPr>
              <w:t>Assessora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6AAEB840" w14:textId="77777777" w:rsidR="00C476EB" w:rsidRPr="00BB2CA9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FFFFFF"/>
                <w:sz w:val="19"/>
                <w:szCs w:val="19"/>
                <w:lang w:eastAsia="it-IT"/>
              </w:rPr>
              <w:t>Presidente del consiglio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4BDF6BB5" w14:textId="77777777" w:rsidR="00C476EB" w:rsidRPr="00BB2CA9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FFFFFF"/>
                <w:sz w:val="19"/>
                <w:szCs w:val="19"/>
                <w:lang w:eastAsia="it-IT"/>
              </w:rPr>
              <w:t>Consigliera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3CD47" w14:textId="77777777" w:rsidR="00C476EB" w:rsidRPr="00BB2CA9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FFFFFF"/>
                <w:sz w:val="19"/>
                <w:szCs w:val="19"/>
                <w:lang w:eastAsia="it-IT"/>
              </w:rPr>
            </w:pPr>
          </w:p>
        </w:tc>
      </w:tr>
      <w:tr w:rsidR="00840246" w:rsidRPr="00BB2CA9" w14:paraId="5F788EE3" w14:textId="77777777" w:rsidTr="008E669B">
        <w:trPr>
          <w:trHeight w:val="26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5EBB" w14:textId="77777777" w:rsidR="00C476EB" w:rsidRPr="00BB2CA9" w:rsidRDefault="00C476EB" w:rsidP="00BB2CA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&lt;= 3.000 ab.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BE7F4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647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E4213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1.103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9A2D9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2.535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957C5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8DAA3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10.918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704A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15.330</w:t>
            </w:r>
          </w:p>
        </w:tc>
      </w:tr>
      <w:tr w:rsidR="00840246" w:rsidRPr="00BB2CA9" w14:paraId="61774CE3" w14:textId="77777777" w:rsidTr="008E669B">
        <w:trPr>
          <w:trHeight w:val="26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89A9" w14:textId="77777777" w:rsidR="00C476EB" w:rsidRPr="00BB2CA9" w:rsidRDefault="00C476EB" w:rsidP="00BB2CA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da 3.001 a 15.000 ab.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3E126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432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156F5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881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1BAEA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4.267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C688B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3658E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8.949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AFE3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14.752</w:t>
            </w:r>
          </w:p>
        </w:tc>
      </w:tr>
      <w:tr w:rsidR="00840246" w:rsidRPr="00BB2CA9" w14:paraId="2DDB1520" w14:textId="77777777" w:rsidTr="008E669B">
        <w:trPr>
          <w:trHeight w:val="26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9BAF" w14:textId="77777777" w:rsidR="00C476EB" w:rsidRPr="00BB2CA9" w:rsidRDefault="00C476EB" w:rsidP="00BB2CA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da 15.001 a 50.000 ab.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A6A6E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92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1E057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186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85667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1.149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77D5E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151B8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3.396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E021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4.899</w:t>
            </w:r>
          </w:p>
        </w:tc>
      </w:tr>
      <w:tr w:rsidR="00840246" w:rsidRPr="00BB2CA9" w14:paraId="4B3D0F61" w14:textId="77777777" w:rsidTr="008E669B">
        <w:trPr>
          <w:trHeight w:val="26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3CDF" w14:textId="77777777" w:rsidR="00C476EB" w:rsidRPr="00BB2CA9" w:rsidRDefault="00C476EB" w:rsidP="00BB2CA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da 50.001 a 100.000 ab.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A2574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BC94E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67A0C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269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4E77E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18B0A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788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D64C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1.109</w:t>
            </w:r>
          </w:p>
        </w:tc>
      </w:tr>
      <w:tr w:rsidR="00840246" w:rsidRPr="00BB2CA9" w14:paraId="52306D6D" w14:textId="77777777" w:rsidTr="00475EAF">
        <w:trPr>
          <w:trHeight w:val="264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3DA0D" w14:textId="77777777" w:rsidR="00C476EB" w:rsidRPr="00BB2CA9" w:rsidRDefault="00C476EB" w:rsidP="00BB2CA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Oltre 100.000 ab.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50E815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E452CA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48B033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9C83CC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78F8D6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447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EE768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color w:val="000000"/>
                <w:sz w:val="19"/>
                <w:szCs w:val="19"/>
                <w:lang w:eastAsia="it-IT"/>
              </w:rPr>
              <w:t>632</w:t>
            </w:r>
          </w:p>
        </w:tc>
      </w:tr>
      <w:tr w:rsidR="00840246" w:rsidRPr="00BB2CA9" w14:paraId="266B5344" w14:textId="77777777" w:rsidTr="00475EAF">
        <w:trPr>
          <w:trHeight w:val="282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2D720" w14:textId="77777777" w:rsidR="00C476EB" w:rsidRPr="00BB2CA9" w:rsidRDefault="00C476EB" w:rsidP="00BB2CA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  <w:t>Totale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3A902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  <w:t>1.189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7AF61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  <w:t>2.224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00D88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  <w:t>8.370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3E675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  <w:t>441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CFE5C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  <w:t>24.498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6B99B" w14:textId="77777777" w:rsidR="00C476EB" w:rsidRPr="00BB2CA9" w:rsidRDefault="00C476EB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BB2CA9"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  <w:t>36.722</w:t>
            </w:r>
          </w:p>
        </w:tc>
      </w:tr>
      <w:tr w:rsidR="004D6076" w:rsidRPr="00BB2CA9" w14:paraId="49E4C4D2" w14:textId="77777777" w:rsidTr="00475EAF">
        <w:trPr>
          <w:trHeight w:val="282"/>
        </w:trPr>
        <w:tc>
          <w:tcPr>
            <w:tcW w:w="9638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984480" w14:textId="77777777" w:rsidR="004D6076" w:rsidRPr="0044688C" w:rsidRDefault="004D6076" w:rsidP="00851A6A">
            <w:pPr>
              <w:pStyle w:val="Fonte"/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840246">
              <w:rPr>
                <w:rFonts w:ascii="Bookman Old Style" w:hAnsi="Bookman Old Style"/>
                <w:sz w:val="20"/>
                <w:szCs w:val="20"/>
              </w:rPr>
              <w:t>Fonte: elaborazioni ANCI su dati Ministero dell’Interno</w:t>
            </w:r>
          </w:p>
          <w:p w14:paraId="6588BDC3" w14:textId="77777777" w:rsidR="004D6076" w:rsidRPr="00BB2CA9" w:rsidRDefault="004D6076" w:rsidP="00851A6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</w:tr>
      <w:tr w:rsidR="004D6076" w:rsidRPr="00BB2CA9" w14:paraId="5902703A" w14:textId="77777777" w:rsidTr="004D6076">
        <w:trPr>
          <w:trHeight w:val="282"/>
        </w:trPr>
        <w:tc>
          <w:tcPr>
            <w:tcW w:w="255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35FC3BC" w14:textId="77777777" w:rsidR="004D6076" w:rsidRPr="00BB2CA9" w:rsidRDefault="004D6076" w:rsidP="00BB2CA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E4CD67" w14:textId="77777777" w:rsidR="004D6076" w:rsidRPr="00BB2CA9" w:rsidRDefault="004D6076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A8B48C" w14:textId="77777777" w:rsidR="004D6076" w:rsidRPr="00BB2CA9" w:rsidRDefault="004D6076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A232751" w14:textId="77777777" w:rsidR="004D6076" w:rsidRPr="00BB2CA9" w:rsidRDefault="004D6076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A81AB4" w14:textId="77777777" w:rsidR="004D6076" w:rsidRPr="00BB2CA9" w:rsidRDefault="004D6076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91541C9" w14:textId="77777777" w:rsidR="004D6076" w:rsidRPr="00BB2CA9" w:rsidRDefault="004D6076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F89800D" w14:textId="77777777" w:rsidR="004D6076" w:rsidRPr="00BB2CA9" w:rsidRDefault="004D6076" w:rsidP="00BB2CA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</w:tr>
    </w:tbl>
    <w:p w14:paraId="3100593F" w14:textId="1CC8FBCC" w:rsidR="00C476EB" w:rsidRPr="00317DD3" w:rsidRDefault="00C476EB" w:rsidP="00C476EB">
      <w:pPr>
        <w:pStyle w:val="Didascalia"/>
        <w:rPr>
          <w:rFonts w:ascii="Bookman Old Style" w:hAnsi="Bookman Old Style"/>
          <w:sz w:val="22"/>
          <w:szCs w:val="22"/>
        </w:rPr>
      </w:pPr>
      <w:r w:rsidRPr="00317DD3">
        <w:rPr>
          <w:rFonts w:ascii="Bookman Old Style" w:hAnsi="Bookman Old Style"/>
          <w:sz w:val="22"/>
          <w:szCs w:val="22"/>
        </w:rPr>
        <w:lastRenderedPageBreak/>
        <w:t xml:space="preserve">Tabella </w:t>
      </w:r>
      <w:r w:rsidRPr="00317DD3">
        <w:rPr>
          <w:rFonts w:ascii="Bookman Old Style" w:hAnsi="Bookman Old Style"/>
          <w:sz w:val="22"/>
          <w:szCs w:val="22"/>
        </w:rPr>
        <w:fldChar w:fldCharType="begin"/>
      </w:r>
      <w:r w:rsidRPr="00317DD3">
        <w:rPr>
          <w:rFonts w:ascii="Bookman Old Style" w:hAnsi="Bookman Old Style"/>
          <w:sz w:val="22"/>
          <w:szCs w:val="22"/>
        </w:rPr>
        <w:instrText xml:space="preserve"> SEQ Tabella \* ARABIC </w:instrText>
      </w:r>
      <w:r w:rsidRPr="00317DD3">
        <w:rPr>
          <w:rFonts w:ascii="Bookman Old Style" w:hAnsi="Bookman Old Style"/>
          <w:sz w:val="22"/>
          <w:szCs w:val="22"/>
        </w:rPr>
        <w:fldChar w:fldCharType="separate"/>
      </w:r>
      <w:r w:rsidR="00E66E6B">
        <w:rPr>
          <w:rFonts w:ascii="Bookman Old Style" w:hAnsi="Bookman Old Style"/>
          <w:noProof/>
          <w:sz w:val="22"/>
          <w:szCs w:val="22"/>
        </w:rPr>
        <w:t>8</w:t>
      </w:r>
      <w:r w:rsidRPr="00317DD3">
        <w:rPr>
          <w:rFonts w:ascii="Bookman Old Style" w:hAnsi="Bookman Old Style"/>
          <w:noProof/>
          <w:sz w:val="22"/>
          <w:szCs w:val="22"/>
        </w:rPr>
        <w:fldChar w:fldCharType="end"/>
      </w:r>
      <w:r w:rsidRPr="00317DD3">
        <w:rPr>
          <w:rFonts w:ascii="Bookman Old Style" w:hAnsi="Bookman Old Style"/>
          <w:sz w:val="22"/>
          <w:szCs w:val="22"/>
        </w:rPr>
        <w:t>. Ripartizione per dimensione comunale – Donne (incidenza percentuale sul totale degli Amministratori di ogni singola carica nell’ambito di ciascuna classe)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3"/>
        <w:gridCol w:w="870"/>
        <w:gridCol w:w="1224"/>
        <w:gridCol w:w="1045"/>
        <w:gridCol w:w="2269"/>
        <w:gridCol w:w="1156"/>
        <w:gridCol w:w="691"/>
      </w:tblGrid>
      <w:tr w:rsidR="00C476EB" w:rsidRPr="00256942" w14:paraId="1E5FAE08" w14:textId="77777777" w:rsidTr="00851A6A">
        <w:trPr>
          <w:trHeight w:val="264"/>
        </w:trPr>
        <w:tc>
          <w:tcPr>
            <w:tcW w:w="13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center"/>
            <w:hideMark/>
          </w:tcPr>
          <w:p w14:paraId="756CA139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Classe di ampiezza demografica</w:t>
            </w:r>
          </w:p>
        </w:tc>
        <w:tc>
          <w:tcPr>
            <w:tcW w:w="29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6371F1A7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Carica</w:t>
            </w:r>
          </w:p>
        </w:tc>
        <w:tc>
          <w:tcPr>
            <w:tcW w:w="65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14:paraId="25508DE1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Totale</w:t>
            </w:r>
          </w:p>
        </w:tc>
      </w:tr>
      <w:tr w:rsidR="00C476EB" w:rsidRPr="00256942" w14:paraId="72680A9A" w14:textId="77777777" w:rsidTr="00851A6A">
        <w:trPr>
          <w:trHeight w:val="264"/>
        </w:trPr>
        <w:tc>
          <w:tcPr>
            <w:tcW w:w="13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432B6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513A46BC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Sindaca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43B8733D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Vicesindaca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629B5F1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Assessora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59359CAA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Presidente del consiglio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78C815D9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Consigliera</w:t>
            </w:r>
          </w:p>
        </w:tc>
        <w:tc>
          <w:tcPr>
            <w:tcW w:w="6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B1BD8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</w:p>
        </w:tc>
      </w:tr>
      <w:tr w:rsidR="00C476EB" w:rsidRPr="00256942" w14:paraId="693A0485" w14:textId="77777777" w:rsidTr="00851A6A">
        <w:trPr>
          <w:trHeight w:val="264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ADAF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&lt;= 3.000 ab.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2D03D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14,8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BA0CF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27,9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4E736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42,3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6DD6F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31,4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9A47E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31,6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6651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31,1</w:t>
            </w:r>
          </w:p>
        </w:tc>
      </w:tr>
      <w:tr w:rsidR="00C476EB" w:rsidRPr="00256942" w14:paraId="61B51D2E" w14:textId="77777777" w:rsidTr="00851A6A">
        <w:trPr>
          <w:trHeight w:val="264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4D03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da 3.001 a 15.000 ab.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35F1B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16,3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461C2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36,5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705DF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49,1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93745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34,3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A2443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36,8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0226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38,1</w:t>
            </w:r>
          </w:p>
        </w:tc>
      </w:tr>
      <w:tr w:rsidR="00C476EB" w:rsidRPr="00256942" w14:paraId="703E28CA" w14:textId="77777777" w:rsidTr="00851A6A">
        <w:trPr>
          <w:trHeight w:val="264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6272" w14:textId="77777777" w:rsidR="00C476EB" w:rsidRPr="00256942" w:rsidRDefault="00C476EB" w:rsidP="00851A6A">
            <w:pPr>
              <w:spacing w:line="240" w:lineRule="auto"/>
              <w:ind w:right="-207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da 15.001 a 50.000 ab.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AF77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16,0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65268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36,8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42217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42,8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CC30A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19,9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34C0B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33,4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340A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34,2</w:t>
            </w:r>
          </w:p>
        </w:tc>
      </w:tr>
      <w:tr w:rsidR="00C476EB" w:rsidRPr="00256942" w14:paraId="446C95D5" w14:textId="77777777" w:rsidTr="00851A6A">
        <w:trPr>
          <w:trHeight w:val="264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C053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da 50.001 a 100.000 ab.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1FC34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10,9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53EBD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43,0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4CF6C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42,8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63853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9,1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BBD0A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31,8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1041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33,2</w:t>
            </w:r>
          </w:p>
        </w:tc>
      </w:tr>
      <w:tr w:rsidR="00C476EB" w:rsidRPr="00256942" w14:paraId="6F94B314" w14:textId="77777777" w:rsidTr="00851A6A">
        <w:trPr>
          <w:trHeight w:val="264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EEEA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Oltre 100.000 ab.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63504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19,5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CA228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40,5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5D237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42,5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E6139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32,3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487FF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31,0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15A2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33,1</w:t>
            </w:r>
          </w:p>
        </w:tc>
      </w:tr>
      <w:tr w:rsidR="00C476EB" w:rsidRPr="00256942" w14:paraId="4FE0A251" w14:textId="77777777" w:rsidTr="00851A6A">
        <w:trPr>
          <w:trHeight w:val="264"/>
        </w:trPr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6EE31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CA53E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15,4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C1464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31,8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70424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45,6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69B50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29,0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13BC7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33,6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F3AD4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34,1</w:t>
            </w:r>
          </w:p>
        </w:tc>
      </w:tr>
    </w:tbl>
    <w:p w14:paraId="77BFEC51" w14:textId="77777777" w:rsidR="00C476EB" w:rsidRPr="00317DD3" w:rsidRDefault="00C476EB" w:rsidP="00C476EB">
      <w:pPr>
        <w:pStyle w:val="Fonte"/>
        <w:rPr>
          <w:rFonts w:ascii="Bookman Old Style" w:hAnsi="Bookman Old Style" w:cs="Georgia"/>
          <w:sz w:val="20"/>
          <w:szCs w:val="20"/>
        </w:rPr>
      </w:pPr>
      <w:r w:rsidRPr="00317DD3">
        <w:rPr>
          <w:rFonts w:ascii="Bookman Old Style" w:hAnsi="Bookman Old Style"/>
          <w:sz w:val="20"/>
          <w:szCs w:val="20"/>
        </w:rPr>
        <w:t>Fonte: elaborazioni ANCI su dati Ministero dell’Interno</w:t>
      </w:r>
    </w:p>
    <w:p w14:paraId="437AF3DB" w14:textId="0FDC06DA" w:rsidR="00F8684F" w:rsidRDefault="00F8684F" w:rsidP="00C476EB">
      <w:pPr>
        <w:pStyle w:val="Didascalia"/>
        <w:rPr>
          <w:rFonts w:ascii="Bookman Old Style" w:hAnsi="Bookman Old Style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</w:pPr>
      <w:r w:rsidRPr="00F8684F">
        <w:rPr>
          <w:rFonts w:ascii="Bookman Old Style" w:hAnsi="Bookman Old Style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  <w:t xml:space="preserve">Le donne amministratrici confermano di avere un livello di istruzione mediamente più alto rispetto ai loro colleghi uomini: il 49% delle donne possiede una laurea o un titolo post-laurea, contro il 34% degli uomini. Questa tendenza si riscontra soprattutto tra le assessore e le consigliere, dove il livello di istruzione è particolarmente elevato. </w:t>
      </w:r>
    </w:p>
    <w:p w14:paraId="7868009D" w14:textId="3FA7C351" w:rsidR="00C476EB" w:rsidRPr="00317DD3" w:rsidRDefault="00C476EB" w:rsidP="00C476EB">
      <w:pPr>
        <w:pStyle w:val="Didascalia"/>
        <w:rPr>
          <w:rFonts w:ascii="Bookman Old Style" w:hAnsi="Bookman Old Style"/>
          <w:sz w:val="22"/>
          <w:szCs w:val="22"/>
        </w:rPr>
      </w:pPr>
      <w:r w:rsidRPr="00317DD3">
        <w:rPr>
          <w:rFonts w:ascii="Bookman Old Style" w:hAnsi="Bookman Old Style"/>
          <w:sz w:val="22"/>
          <w:szCs w:val="22"/>
        </w:rPr>
        <w:t xml:space="preserve">Tabella </w:t>
      </w:r>
      <w:r w:rsidRPr="00317DD3">
        <w:rPr>
          <w:rFonts w:ascii="Bookman Old Style" w:hAnsi="Bookman Old Style"/>
          <w:sz w:val="22"/>
          <w:szCs w:val="22"/>
        </w:rPr>
        <w:fldChar w:fldCharType="begin"/>
      </w:r>
      <w:r w:rsidRPr="00317DD3">
        <w:rPr>
          <w:rFonts w:ascii="Bookman Old Style" w:hAnsi="Bookman Old Style"/>
          <w:sz w:val="22"/>
          <w:szCs w:val="22"/>
        </w:rPr>
        <w:instrText xml:space="preserve"> SEQ Tabella \* ARABIC </w:instrText>
      </w:r>
      <w:r w:rsidRPr="00317DD3">
        <w:rPr>
          <w:rFonts w:ascii="Bookman Old Style" w:hAnsi="Bookman Old Style"/>
          <w:sz w:val="22"/>
          <w:szCs w:val="22"/>
        </w:rPr>
        <w:fldChar w:fldCharType="separate"/>
      </w:r>
      <w:r w:rsidR="00E66E6B">
        <w:rPr>
          <w:rFonts w:ascii="Bookman Old Style" w:hAnsi="Bookman Old Style"/>
          <w:noProof/>
          <w:sz w:val="22"/>
          <w:szCs w:val="22"/>
        </w:rPr>
        <w:t>9</w:t>
      </w:r>
      <w:r w:rsidRPr="00317DD3">
        <w:rPr>
          <w:rFonts w:ascii="Bookman Old Style" w:hAnsi="Bookman Old Style"/>
          <w:noProof/>
          <w:sz w:val="22"/>
          <w:szCs w:val="22"/>
        </w:rPr>
        <w:fldChar w:fldCharType="end"/>
      </w:r>
      <w:r w:rsidRPr="00317DD3">
        <w:rPr>
          <w:rFonts w:ascii="Bookman Old Style" w:hAnsi="Bookman Old Style"/>
          <w:sz w:val="22"/>
          <w:szCs w:val="22"/>
        </w:rPr>
        <w:t>. Titolo di studio, per genere</w:t>
      </w:r>
      <w:r w:rsidR="00F626C2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="00F626C2">
        <w:rPr>
          <w:rFonts w:ascii="Bookman Old Style" w:hAnsi="Bookman Old Style"/>
          <w:sz w:val="22"/>
          <w:szCs w:val="22"/>
        </w:rPr>
        <w:t>v.a</w:t>
      </w:r>
      <w:proofErr w:type="spellEnd"/>
      <w:r w:rsidR="00321331">
        <w:rPr>
          <w:rFonts w:ascii="Bookman Old Style" w:hAnsi="Bookman Old Style"/>
          <w:sz w:val="22"/>
          <w:szCs w:val="22"/>
        </w:rPr>
        <w:t>, val.%)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3"/>
        <w:gridCol w:w="900"/>
        <w:gridCol w:w="588"/>
        <w:gridCol w:w="900"/>
        <w:gridCol w:w="588"/>
        <w:gridCol w:w="829"/>
      </w:tblGrid>
      <w:tr w:rsidR="00C476EB" w:rsidRPr="00256942" w14:paraId="194E84B1" w14:textId="77777777" w:rsidTr="00851A6A">
        <w:trPr>
          <w:trHeight w:val="300"/>
        </w:trPr>
        <w:tc>
          <w:tcPr>
            <w:tcW w:w="3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14:paraId="48EC78C7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Titolo di studio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32E239F1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Donne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2BD5AF9D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Uomini</w:t>
            </w:r>
          </w:p>
        </w:tc>
        <w:tc>
          <w:tcPr>
            <w:tcW w:w="43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14:paraId="3FBEE470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Totale</w:t>
            </w:r>
          </w:p>
        </w:tc>
      </w:tr>
      <w:tr w:rsidR="00C476EB" w:rsidRPr="00256942" w14:paraId="7E4AC88D" w14:textId="77777777" w:rsidTr="00851A6A">
        <w:trPr>
          <w:trHeight w:val="288"/>
        </w:trPr>
        <w:tc>
          <w:tcPr>
            <w:tcW w:w="302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53245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DA67535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v.a.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5EB3AB6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7C382464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v.a.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0D90D16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4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7C919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</w:p>
        </w:tc>
      </w:tr>
      <w:tr w:rsidR="00C476EB" w:rsidRPr="00256942" w14:paraId="1D0891EB" w14:textId="77777777" w:rsidTr="00851A6A">
        <w:trPr>
          <w:trHeight w:val="288"/>
        </w:trPr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CCED3" w14:textId="7BEC406C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 xml:space="preserve">Specializzazione o titolo </w:t>
            </w:r>
            <w:r w:rsidR="00321331"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post-laurea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72309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7D475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  <w:t>1,8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E4B38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534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87E75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  <w:t>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8238C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1.015</w:t>
            </w:r>
          </w:p>
        </w:tc>
      </w:tr>
      <w:tr w:rsidR="00C476EB" w:rsidRPr="00256942" w14:paraId="3CA157EA" w14:textId="77777777" w:rsidTr="00851A6A">
        <w:trPr>
          <w:trHeight w:val="288"/>
        </w:trPr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2B8F6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Laurea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EB857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12.976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2CEED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  <w:t>47,5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9348A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18.497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14ED3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  <w:t>33,1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9D371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31.473</w:t>
            </w:r>
          </w:p>
        </w:tc>
      </w:tr>
      <w:tr w:rsidR="00C476EB" w:rsidRPr="00256942" w14:paraId="0C3BA37C" w14:textId="77777777" w:rsidTr="00851A6A">
        <w:trPr>
          <w:trHeight w:val="288"/>
        </w:trPr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678E3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Scuola media superiore o titolo equipollente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86958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11.351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E1661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  <w:t>41,5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D7709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26.263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C480B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  <w:t>47,0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4BB8B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37.614</w:t>
            </w:r>
          </w:p>
        </w:tc>
      </w:tr>
      <w:tr w:rsidR="00C476EB" w:rsidRPr="00256942" w14:paraId="3C67033B" w14:textId="77777777" w:rsidTr="00851A6A">
        <w:trPr>
          <w:trHeight w:val="288"/>
        </w:trPr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B734F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Scuola media inferiore o titolo equipollente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37E6E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2.172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62EE8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  <w:t>7,9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2582B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9.548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D33F3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  <w:t>17,1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ED24E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11.720</w:t>
            </w:r>
          </w:p>
        </w:tc>
      </w:tr>
      <w:tr w:rsidR="00C476EB" w:rsidRPr="00256942" w14:paraId="72E26BF5" w14:textId="77777777" w:rsidTr="00851A6A">
        <w:trPr>
          <w:trHeight w:val="288"/>
        </w:trPr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3C2E0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Nessun titolo di studio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80069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365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4B1B5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  <w:t>1,3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2465E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1.010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26748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  <w:t>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0F48B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1.375</w:t>
            </w:r>
          </w:p>
        </w:tc>
      </w:tr>
      <w:tr w:rsidR="00C476EB" w:rsidRPr="00256942" w14:paraId="1FF65698" w14:textId="77777777" w:rsidTr="008E669B">
        <w:trPr>
          <w:trHeight w:val="66"/>
        </w:trPr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492C2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F06F4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27.345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A7677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F7312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55.852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E4A16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i/>
                <w:iCs/>
                <w:color w:val="000000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D11F2" w14:textId="77777777" w:rsidR="00C476EB" w:rsidRPr="00256942" w:rsidRDefault="00C476EB" w:rsidP="00851A6A">
            <w:pPr>
              <w:spacing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83.197</w:t>
            </w:r>
          </w:p>
        </w:tc>
      </w:tr>
    </w:tbl>
    <w:p w14:paraId="4864CB5A" w14:textId="77777777" w:rsidR="00C476EB" w:rsidRPr="00256942" w:rsidRDefault="00C476EB" w:rsidP="00541E76">
      <w:pPr>
        <w:pStyle w:val="Fonte"/>
        <w:spacing w:after="0"/>
        <w:rPr>
          <w:rFonts w:ascii="Bookman Old Style" w:hAnsi="Bookman Old Style"/>
          <w:sz w:val="20"/>
          <w:szCs w:val="20"/>
        </w:rPr>
      </w:pPr>
      <w:r w:rsidRPr="00256942">
        <w:rPr>
          <w:rFonts w:ascii="Bookman Old Style" w:hAnsi="Bookman Old Style"/>
          <w:sz w:val="20"/>
          <w:szCs w:val="20"/>
        </w:rPr>
        <w:t>Fonte: elaborazioni ANCI su dati Ministero dell’Interno</w:t>
      </w:r>
    </w:p>
    <w:p w14:paraId="09B774DB" w14:textId="77777777" w:rsidR="00541E76" w:rsidRPr="00256942" w:rsidRDefault="00541E76" w:rsidP="00C476EB">
      <w:pPr>
        <w:rPr>
          <w:rFonts w:ascii="Bookman Old Style" w:hAnsi="Bookman Old Style"/>
        </w:rPr>
      </w:pPr>
    </w:p>
    <w:p w14:paraId="06FF9B96" w14:textId="77777777" w:rsidR="00FB49F3" w:rsidRDefault="00FB49F3" w:rsidP="00FB49F3">
      <w:pPr>
        <w:pStyle w:val="Didascalia"/>
        <w:rPr>
          <w:rFonts w:ascii="Bookman Old Style" w:hAnsi="Bookman Old Style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</w:pPr>
      <w:r w:rsidRPr="00F8684F">
        <w:rPr>
          <w:rFonts w:ascii="Bookman Old Style" w:hAnsi="Bookman Old Style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  <w:t>Inoltre, l'età media delle amministratrici è di circa tre anni inferiore rispetto agli uomini, con le sindache che hanno un'età media di 54 anni, contro i 56 dei sindaci, e le assessore che hanno un'età media di 48 anni rispetto ai 52 dei colleghi uomini.</w:t>
      </w:r>
    </w:p>
    <w:p w14:paraId="0520BD0D" w14:textId="77777777" w:rsidR="00AA1117" w:rsidRDefault="00AA1117" w:rsidP="00AA1117"/>
    <w:p w14:paraId="503FB519" w14:textId="77777777" w:rsidR="00AA1117" w:rsidRPr="00AA1117" w:rsidRDefault="00AA1117" w:rsidP="00AA1117"/>
    <w:p w14:paraId="5DDA1622" w14:textId="20641257" w:rsidR="00C476EB" w:rsidRDefault="00C476EB" w:rsidP="00C476EB">
      <w:pPr>
        <w:rPr>
          <w:rFonts w:ascii="Bookman Old Style" w:hAnsi="Bookman Old Style"/>
        </w:rPr>
      </w:pPr>
    </w:p>
    <w:p w14:paraId="0436D817" w14:textId="77777777" w:rsidR="00D90FAA" w:rsidRDefault="00D90FAA" w:rsidP="00C476EB">
      <w:pPr>
        <w:rPr>
          <w:rFonts w:ascii="Bookman Old Style" w:hAnsi="Bookman Old Style"/>
        </w:rPr>
      </w:pPr>
    </w:p>
    <w:p w14:paraId="22561664" w14:textId="13D6FA2B" w:rsidR="00AA1117" w:rsidRPr="00317DD3" w:rsidRDefault="00AA1117" w:rsidP="00AA1117">
      <w:pPr>
        <w:pStyle w:val="Didascalia"/>
        <w:rPr>
          <w:rFonts w:ascii="Bookman Old Style" w:hAnsi="Bookman Old Style"/>
          <w:sz w:val="22"/>
          <w:szCs w:val="22"/>
        </w:rPr>
      </w:pPr>
      <w:r w:rsidRPr="00317DD3">
        <w:rPr>
          <w:rFonts w:ascii="Bookman Old Style" w:hAnsi="Bookman Old Style"/>
          <w:sz w:val="22"/>
          <w:szCs w:val="22"/>
        </w:rPr>
        <w:lastRenderedPageBreak/>
        <w:t xml:space="preserve">Tabella </w:t>
      </w:r>
      <w:r w:rsidRPr="00317DD3">
        <w:rPr>
          <w:rFonts w:ascii="Bookman Old Style" w:hAnsi="Bookman Old Style"/>
          <w:sz w:val="22"/>
          <w:szCs w:val="22"/>
        </w:rPr>
        <w:fldChar w:fldCharType="begin"/>
      </w:r>
      <w:r w:rsidRPr="00317DD3">
        <w:rPr>
          <w:rFonts w:ascii="Bookman Old Style" w:hAnsi="Bookman Old Style"/>
          <w:sz w:val="22"/>
          <w:szCs w:val="22"/>
        </w:rPr>
        <w:instrText xml:space="preserve"> SEQ Tabella \* ARABIC </w:instrText>
      </w:r>
      <w:r w:rsidRPr="00317DD3">
        <w:rPr>
          <w:rFonts w:ascii="Bookman Old Style" w:hAnsi="Bookman Old Style"/>
          <w:sz w:val="22"/>
          <w:szCs w:val="22"/>
        </w:rPr>
        <w:fldChar w:fldCharType="separate"/>
      </w:r>
      <w:r w:rsidR="008C2AB3">
        <w:rPr>
          <w:rFonts w:ascii="Bookman Old Style" w:hAnsi="Bookman Old Style"/>
          <w:noProof/>
          <w:sz w:val="22"/>
          <w:szCs w:val="22"/>
        </w:rPr>
        <w:t>10</w:t>
      </w:r>
      <w:r w:rsidRPr="00317DD3">
        <w:rPr>
          <w:rFonts w:ascii="Bookman Old Style" w:hAnsi="Bookman Old Style"/>
          <w:noProof/>
          <w:sz w:val="22"/>
          <w:szCs w:val="22"/>
        </w:rPr>
        <w:fldChar w:fldCharType="end"/>
      </w:r>
      <w:r w:rsidRPr="00317DD3">
        <w:rPr>
          <w:rFonts w:ascii="Bookman Old Style" w:hAnsi="Bookman Old Style"/>
          <w:sz w:val="22"/>
          <w:szCs w:val="22"/>
        </w:rPr>
        <w:t xml:space="preserve">. </w:t>
      </w:r>
      <w:r w:rsidR="008C2AB3">
        <w:rPr>
          <w:rFonts w:ascii="Bookman Old Style" w:hAnsi="Bookman Old Style"/>
          <w:sz w:val="22"/>
          <w:szCs w:val="22"/>
        </w:rPr>
        <w:t>Età media degli amministratori</w:t>
      </w:r>
      <w:r w:rsidR="00F626C2">
        <w:rPr>
          <w:rFonts w:ascii="Bookman Old Style" w:hAnsi="Bookman Old Style"/>
          <w:sz w:val="22"/>
          <w:szCs w:val="22"/>
        </w:rPr>
        <w:t xml:space="preserve"> comunali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2005"/>
        <w:gridCol w:w="2535"/>
      </w:tblGrid>
      <w:tr w:rsidR="00C476EB" w:rsidRPr="00256942" w14:paraId="00B0BD80" w14:textId="77777777" w:rsidTr="00541E76">
        <w:trPr>
          <w:trHeight w:val="57"/>
        </w:trPr>
        <w:tc>
          <w:tcPr>
            <w:tcW w:w="2645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28FF969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385FE991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Donne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529030E6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FFFFFF"/>
                <w:sz w:val="20"/>
                <w:szCs w:val="20"/>
                <w:lang w:eastAsia="it-IT"/>
              </w:rPr>
              <w:t>Uomini</w:t>
            </w:r>
          </w:p>
        </w:tc>
      </w:tr>
      <w:tr w:rsidR="00C476EB" w:rsidRPr="00256942" w14:paraId="4E9F5214" w14:textId="77777777" w:rsidTr="00541E76">
        <w:trPr>
          <w:trHeight w:val="286"/>
        </w:trPr>
        <w:tc>
          <w:tcPr>
            <w:tcW w:w="2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9817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Sindaco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73DD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AB87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56</w:t>
            </w:r>
          </w:p>
        </w:tc>
      </w:tr>
      <w:tr w:rsidR="00C476EB" w:rsidRPr="00256942" w14:paraId="6AA0A1E9" w14:textId="77777777" w:rsidTr="00541E76">
        <w:trPr>
          <w:trHeight w:val="57"/>
        </w:trPr>
        <w:tc>
          <w:tcPr>
            <w:tcW w:w="2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A2A8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Vicesindaco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D541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10BB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53</w:t>
            </w:r>
          </w:p>
        </w:tc>
      </w:tr>
      <w:tr w:rsidR="00C476EB" w:rsidRPr="00256942" w14:paraId="75C0D615" w14:textId="77777777" w:rsidTr="00541E76">
        <w:trPr>
          <w:trHeight w:val="57"/>
        </w:trPr>
        <w:tc>
          <w:tcPr>
            <w:tcW w:w="2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4887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Assessore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3791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64F5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52</w:t>
            </w:r>
          </w:p>
        </w:tc>
      </w:tr>
      <w:tr w:rsidR="00C476EB" w:rsidRPr="00256942" w14:paraId="61452928" w14:textId="77777777" w:rsidTr="00541E76">
        <w:trPr>
          <w:trHeight w:val="57"/>
        </w:trPr>
        <w:tc>
          <w:tcPr>
            <w:tcW w:w="2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C916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Presidente del consiglio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025F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C4E3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52</w:t>
            </w:r>
          </w:p>
        </w:tc>
      </w:tr>
      <w:tr w:rsidR="00C476EB" w:rsidRPr="00256942" w14:paraId="7A7639EB" w14:textId="77777777" w:rsidTr="00541E76">
        <w:trPr>
          <w:trHeight w:val="57"/>
        </w:trPr>
        <w:tc>
          <w:tcPr>
            <w:tcW w:w="2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C490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Consigliere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AAC5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14F7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51</w:t>
            </w:r>
          </w:p>
        </w:tc>
      </w:tr>
      <w:tr w:rsidR="00C476EB" w:rsidRPr="00256942" w14:paraId="25FF49B6" w14:textId="77777777" w:rsidTr="00541E76">
        <w:trPr>
          <w:trHeight w:val="54"/>
        </w:trPr>
        <w:tc>
          <w:tcPr>
            <w:tcW w:w="26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8E5AF" w14:textId="77777777" w:rsidR="00C476EB" w:rsidRPr="00256942" w:rsidRDefault="00C476EB" w:rsidP="00851A6A">
            <w:pPr>
              <w:spacing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0210D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0A539" w14:textId="77777777" w:rsidR="00C476EB" w:rsidRPr="00256942" w:rsidRDefault="00C476EB" w:rsidP="00851A6A">
            <w:pPr>
              <w:spacing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94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51</w:t>
            </w:r>
          </w:p>
        </w:tc>
      </w:tr>
    </w:tbl>
    <w:p w14:paraId="3E57D1A3" w14:textId="77777777" w:rsidR="00877A6A" w:rsidRPr="00256942" w:rsidRDefault="00877A6A" w:rsidP="00877A6A">
      <w:pPr>
        <w:pStyle w:val="Fonte"/>
        <w:spacing w:after="0"/>
        <w:rPr>
          <w:rFonts w:ascii="Bookman Old Style" w:hAnsi="Bookman Old Style"/>
          <w:sz w:val="20"/>
          <w:szCs w:val="20"/>
        </w:rPr>
      </w:pPr>
      <w:r w:rsidRPr="00256942">
        <w:rPr>
          <w:rFonts w:ascii="Bookman Old Style" w:hAnsi="Bookman Old Style"/>
          <w:sz w:val="20"/>
          <w:szCs w:val="20"/>
        </w:rPr>
        <w:t>Fonte: elaborazioni ANCI su dati Ministero dell’Interno</w:t>
      </w:r>
    </w:p>
    <w:p w14:paraId="4DBB81F7" w14:textId="77777777" w:rsidR="00C476EB" w:rsidRPr="00256942" w:rsidRDefault="00C476EB" w:rsidP="00C476EB">
      <w:pPr>
        <w:spacing w:after="200" w:line="276" w:lineRule="auto"/>
        <w:rPr>
          <w:rFonts w:ascii="Bookman Old Style" w:hAnsi="Bookman Old Style"/>
          <w:highlight w:val="yellow"/>
        </w:rPr>
      </w:pPr>
    </w:p>
    <w:p w14:paraId="55B1FBE4" w14:textId="1CCD0C62" w:rsidR="00FB49F3" w:rsidRPr="00FB49F3" w:rsidRDefault="00FB49F3" w:rsidP="00C95C13">
      <w:pPr>
        <w:tabs>
          <w:tab w:val="num" w:pos="720"/>
        </w:tabs>
        <w:spacing w:after="200" w:line="276" w:lineRule="auto"/>
        <w:jc w:val="both"/>
        <w:rPr>
          <w:rFonts w:ascii="Bookman Old Style" w:hAnsi="Bookman Old Style"/>
        </w:rPr>
      </w:pPr>
      <w:r w:rsidRPr="00FB49F3">
        <w:rPr>
          <w:rFonts w:ascii="Bookman Old Style" w:hAnsi="Bookman Old Style"/>
        </w:rPr>
        <w:t xml:space="preserve">Il grafico </w:t>
      </w:r>
      <w:r w:rsidR="00AA117D" w:rsidRPr="00C95C13">
        <w:rPr>
          <w:rFonts w:ascii="Bookman Old Style" w:hAnsi="Bookman Old Style"/>
        </w:rPr>
        <w:t>relativo al</w:t>
      </w:r>
      <w:r w:rsidRPr="00FB49F3">
        <w:rPr>
          <w:rFonts w:ascii="Bookman Old Style" w:hAnsi="Bookman Old Style"/>
        </w:rPr>
        <w:t>la distribuzione degli amministratori comunali italiani per fascia d'età e genere (uomini e donne)</w:t>
      </w:r>
      <w:r w:rsidR="00AA117D" w:rsidRPr="00C95C13">
        <w:rPr>
          <w:rFonts w:ascii="Bookman Old Style" w:hAnsi="Bookman Old Style"/>
        </w:rPr>
        <w:t xml:space="preserve">, </w:t>
      </w:r>
      <w:r w:rsidR="00AA117D" w:rsidRPr="00FB49F3">
        <w:rPr>
          <w:rFonts w:ascii="Bookman Old Style" w:hAnsi="Bookman Old Style"/>
        </w:rPr>
        <w:t xml:space="preserve">riflette una maggiore presenza femminile nelle fasce più giovani e una predominanza maschile nelle età più avanzate, suggerendo </w:t>
      </w:r>
      <w:r w:rsidRPr="00FB49F3">
        <w:rPr>
          <w:rFonts w:ascii="Bookman Old Style" w:hAnsi="Bookman Old Style"/>
        </w:rPr>
        <w:t>un crescente interesse delle giovani donne a ricoprire ruoli amministrativi.</w:t>
      </w:r>
      <w:r w:rsidR="00674718" w:rsidRPr="00C95C13">
        <w:rPr>
          <w:rFonts w:ascii="Bookman Old Style" w:hAnsi="Bookman Old Style"/>
        </w:rPr>
        <w:t xml:space="preserve"> </w:t>
      </w:r>
      <w:r w:rsidRPr="00FB49F3">
        <w:rPr>
          <w:rFonts w:ascii="Bookman Old Style" w:hAnsi="Bookman Old Style"/>
        </w:rPr>
        <w:t>Nelle fasce d'età più alte, a partire dai 60 anni, la presenza delle donne diminuisce, mentre gli uomini rimangono più presenti nelle fasce d'età avanzate. Nelle fasce d'età tra i 55 e i 69 anni, la rappresentanza maschile è significativamente superiore a quella femminile, indicando che, storicamente, gli uomini tendono a restare più a lungo in posizioni di leadership o a ricoprirle più tardi nella loro carriera.</w:t>
      </w:r>
    </w:p>
    <w:p w14:paraId="1849C74D" w14:textId="19D61BC7" w:rsidR="00C476EB" w:rsidRPr="00877A6A" w:rsidRDefault="007C2187" w:rsidP="00C476EB">
      <w:pPr>
        <w:spacing w:after="200" w:line="276" w:lineRule="auto"/>
        <w:rPr>
          <w:rFonts w:ascii="Bookman Old Style" w:hAnsi="Bookman Old Style"/>
          <w:b/>
          <w:bCs/>
        </w:rPr>
      </w:pPr>
      <w:r w:rsidRPr="00877A6A">
        <w:rPr>
          <w:rFonts w:ascii="Bookman Old Style" w:hAnsi="Bookman Old Style"/>
          <w:b/>
          <w:bCs/>
        </w:rPr>
        <w:t xml:space="preserve">Grafico 1 – Distribuzione degli amministratori </w:t>
      </w:r>
      <w:r w:rsidR="006163A4" w:rsidRPr="00877A6A">
        <w:rPr>
          <w:rFonts w:ascii="Bookman Old Style" w:hAnsi="Bookman Old Style"/>
          <w:b/>
          <w:bCs/>
        </w:rPr>
        <w:t>comunali per fasce d’età</w:t>
      </w:r>
    </w:p>
    <w:p w14:paraId="616F8DB1" w14:textId="77777777" w:rsidR="00C476EB" w:rsidRPr="00256942" w:rsidRDefault="00C476EB" w:rsidP="00C476EB">
      <w:pPr>
        <w:spacing w:after="200" w:line="276" w:lineRule="auto"/>
        <w:rPr>
          <w:rFonts w:ascii="Bookman Old Style" w:hAnsi="Bookman Old Style"/>
          <w:highlight w:val="yellow"/>
        </w:rPr>
      </w:pPr>
      <w:r w:rsidRPr="00256942">
        <w:rPr>
          <w:rFonts w:ascii="Bookman Old Style" w:hAnsi="Bookman Old Style"/>
          <w:noProof/>
        </w:rPr>
        <w:drawing>
          <wp:inline distT="0" distB="0" distL="0" distR="0" wp14:anchorId="0F9BAC66" wp14:editId="504355D6">
            <wp:extent cx="5509260" cy="3241964"/>
            <wp:effectExtent l="0" t="0" r="15240" b="15875"/>
            <wp:docPr id="676713248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A1C4CE7-A5D6-2240-3963-32633F957C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4B7AD8A" w14:textId="77777777" w:rsidR="00877A6A" w:rsidRPr="00256942" w:rsidRDefault="00877A6A" w:rsidP="00877A6A">
      <w:pPr>
        <w:pStyle w:val="Fonte"/>
        <w:spacing w:after="0"/>
        <w:rPr>
          <w:rFonts w:ascii="Bookman Old Style" w:hAnsi="Bookman Old Style"/>
          <w:sz w:val="20"/>
          <w:szCs w:val="20"/>
        </w:rPr>
      </w:pPr>
      <w:r w:rsidRPr="00256942">
        <w:rPr>
          <w:rFonts w:ascii="Bookman Old Style" w:hAnsi="Bookman Old Style"/>
          <w:sz w:val="20"/>
          <w:szCs w:val="20"/>
        </w:rPr>
        <w:t>Fonte: elaborazioni ANCI su dati Ministero dell’Interno</w:t>
      </w:r>
    </w:p>
    <w:p w14:paraId="75D48DA6" w14:textId="6E115C32" w:rsidR="00317DD3" w:rsidRDefault="00317DD3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11913881" w14:textId="1619CB91" w:rsidR="006A752D" w:rsidRPr="00256942" w:rsidRDefault="006A752D" w:rsidP="00575626">
      <w:pPr>
        <w:pStyle w:val="Titolo1"/>
        <w:numPr>
          <w:ilvl w:val="0"/>
          <w:numId w:val="12"/>
        </w:numPr>
        <w:rPr>
          <w:rFonts w:ascii="Bookman Old Style" w:hAnsi="Bookman Old Style"/>
          <w:b/>
          <w:bCs/>
          <w:color w:val="auto"/>
          <w:sz w:val="32"/>
          <w:szCs w:val="32"/>
        </w:rPr>
      </w:pPr>
      <w:r w:rsidRPr="00256942">
        <w:rPr>
          <w:rFonts w:ascii="Bookman Old Style" w:hAnsi="Bookman Old Style"/>
          <w:b/>
          <w:bCs/>
          <w:color w:val="auto"/>
          <w:sz w:val="32"/>
          <w:szCs w:val="32"/>
        </w:rPr>
        <w:lastRenderedPageBreak/>
        <w:t>Una lettura di lungo periodo</w:t>
      </w:r>
      <w:bookmarkEnd w:id="1"/>
    </w:p>
    <w:p w14:paraId="0B3178FE" w14:textId="1B2C47F6" w:rsidR="006A752D" w:rsidRPr="00256942" w:rsidRDefault="006A752D" w:rsidP="00577D38">
      <w:pPr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</w:rPr>
        <w:t>In questo paragrafo si propone un’analisi di lungo periodo della rappresentanza femminile nelle amministrazioni comunali italiane. L’analisi prende in considerazione gli archivi storici del Ministero degli Interni relativi al periodo 1986-2024. Da tali archivi si sono estrapolati i dati relativi ai sindaci per ciascuno dei 37 anni del periodo considerato.</w:t>
      </w:r>
    </w:p>
    <w:p w14:paraId="67C0D5CF" w14:textId="77777777" w:rsidR="0098033F" w:rsidRPr="00256942" w:rsidRDefault="006A752D" w:rsidP="00577D38">
      <w:pPr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</w:rPr>
        <w:t xml:space="preserve"> Il numero di donne sindaco è cresciuto in modo rilevante. Nel 1986 erano 145 comuni amministrati da sindache; con un lento ma progressivo incremento il numero di sindache ha raggiunto nel 2024 il valore di 1.189. </w:t>
      </w:r>
      <w:r w:rsidRPr="00256942">
        <w:rPr>
          <w:rFonts w:ascii="Bookman Old Style" w:hAnsi="Bookman Old Style"/>
          <w:u w:val="single"/>
        </w:rPr>
        <w:t>il loro numero è cresciuto di più di 8 volte in 39 anni</w:t>
      </w:r>
      <w:r w:rsidRPr="00256942">
        <w:rPr>
          <w:rFonts w:ascii="Bookman Old Style" w:hAnsi="Bookman Old Style"/>
        </w:rPr>
        <w:t>.</w:t>
      </w:r>
    </w:p>
    <w:p w14:paraId="60208235" w14:textId="3B4E0FED" w:rsidR="006A752D" w:rsidRPr="00317DD3" w:rsidRDefault="006A752D" w:rsidP="00577D38">
      <w:pPr>
        <w:jc w:val="both"/>
        <w:rPr>
          <w:rFonts w:ascii="Bookman Old Style" w:hAnsi="Bookman Old Style"/>
          <w:b/>
          <w:bCs/>
        </w:rPr>
      </w:pPr>
      <w:r w:rsidRPr="00317DD3">
        <w:rPr>
          <w:rFonts w:ascii="Bookman Old Style" w:hAnsi="Bookman Old Style"/>
          <w:b/>
          <w:bCs/>
        </w:rPr>
        <w:t xml:space="preserve">Grafico </w:t>
      </w:r>
      <w:r w:rsidR="00C95C13">
        <w:rPr>
          <w:rFonts w:ascii="Bookman Old Style" w:hAnsi="Bookman Old Style"/>
          <w:b/>
          <w:bCs/>
        </w:rPr>
        <w:t>2</w:t>
      </w:r>
      <w:r w:rsidRPr="00317DD3">
        <w:rPr>
          <w:rFonts w:ascii="Bookman Old Style" w:hAnsi="Bookman Old Style"/>
          <w:b/>
          <w:bCs/>
        </w:rPr>
        <w:t>. Quadro storico delle donne sindaco in Italia - periodo 1986-2024</w:t>
      </w:r>
    </w:p>
    <w:p w14:paraId="5A302802" w14:textId="77777777" w:rsidR="006A752D" w:rsidRPr="00256942" w:rsidRDefault="006A752D" w:rsidP="00C95C13">
      <w:pPr>
        <w:pStyle w:val="tabella"/>
        <w:jc w:val="center"/>
        <w:rPr>
          <w:rFonts w:ascii="Bookman Old Style" w:hAnsi="Bookman Old Style"/>
        </w:rPr>
      </w:pPr>
      <w:r w:rsidRPr="00256942">
        <w:rPr>
          <w:rFonts w:ascii="Bookman Old Style" w:hAnsi="Bookman Old Style"/>
          <w:noProof/>
        </w:rPr>
        <w:drawing>
          <wp:inline distT="0" distB="0" distL="0" distR="0" wp14:anchorId="5F3F622A" wp14:editId="5D40B93F">
            <wp:extent cx="4516582" cy="1981200"/>
            <wp:effectExtent l="0" t="0" r="17780" b="0"/>
            <wp:docPr id="1745803868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47BBF21" w14:textId="77777777" w:rsidR="006A752D" w:rsidRPr="00317DD3" w:rsidRDefault="006A752D" w:rsidP="00C95C13">
      <w:pPr>
        <w:pStyle w:val="Fonte"/>
        <w:jc w:val="center"/>
        <w:rPr>
          <w:rFonts w:ascii="Bookman Old Style" w:hAnsi="Bookman Old Style"/>
          <w:sz w:val="20"/>
          <w:szCs w:val="20"/>
        </w:rPr>
      </w:pPr>
      <w:r w:rsidRPr="00317DD3">
        <w:rPr>
          <w:rFonts w:ascii="Bookman Old Style" w:hAnsi="Bookman Old Style"/>
          <w:sz w:val="20"/>
          <w:szCs w:val="20"/>
        </w:rPr>
        <w:t>Fonte: elaborazioni ANCI su dati Ministero dell’Interno</w:t>
      </w:r>
    </w:p>
    <w:p w14:paraId="1A6005C5" w14:textId="4BAFE30E" w:rsidR="006A752D" w:rsidRPr="00256942" w:rsidRDefault="006A752D" w:rsidP="006A752D">
      <w:pPr>
        <w:rPr>
          <w:rFonts w:ascii="Bookman Old Style" w:hAnsi="Bookman Old Style"/>
        </w:rPr>
      </w:pPr>
      <w:r w:rsidRPr="00256942">
        <w:rPr>
          <w:rFonts w:ascii="Bookman Old Style" w:hAnsi="Bookman Old Style"/>
        </w:rPr>
        <w:t>In generale le amministrazioni che dal 198</w:t>
      </w:r>
      <w:r w:rsidR="00010A3B">
        <w:rPr>
          <w:rFonts w:ascii="Bookman Old Style" w:hAnsi="Bookman Old Style"/>
        </w:rPr>
        <w:t>6</w:t>
      </w:r>
      <w:r w:rsidRPr="00256942">
        <w:rPr>
          <w:rFonts w:ascii="Bookman Old Style" w:hAnsi="Bookman Old Style"/>
        </w:rPr>
        <w:t xml:space="preserve"> al 2024 sono stati amministrati almeno una volta da una donna sindaca sono 3.434. </w:t>
      </w:r>
    </w:p>
    <w:p w14:paraId="49BEE78B" w14:textId="77777777" w:rsidR="008E669B" w:rsidRDefault="006A752D" w:rsidP="00C95C13">
      <w:pPr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</w:rPr>
        <w:t>Se si rapporta questo dato al numero dei comuni al 30/12/2024 (7.896) si scopre che il 43,5%, dei Comuni ha avuto nella sua recente passato una donna al vertice dell’amministrazione comunale.</w:t>
      </w:r>
    </w:p>
    <w:p w14:paraId="0642306F" w14:textId="33038DB7" w:rsidR="006A752D" w:rsidRPr="00C95C13" w:rsidRDefault="006A752D" w:rsidP="008E669B">
      <w:pPr>
        <w:rPr>
          <w:rFonts w:ascii="Bookman Old Style" w:hAnsi="Bookman Old Style"/>
          <w:b/>
          <w:bCs/>
        </w:rPr>
      </w:pPr>
      <w:r w:rsidRPr="00C95C13">
        <w:rPr>
          <w:rFonts w:ascii="Bookman Old Style" w:hAnsi="Bookman Old Style"/>
          <w:b/>
          <w:bCs/>
        </w:rPr>
        <w:t xml:space="preserve">Figura </w:t>
      </w:r>
      <w:r w:rsidRPr="00C95C13">
        <w:rPr>
          <w:rFonts w:ascii="Bookman Old Style" w:hAnsi="Bookman Old Style"/>
          <w:b/>
          <w:bCs/>
        </w:rPr>
        <w:fldChar w:fldCharType="begin"/>
      </w:r>
      <w:r w:rsidRPr="00C95C13">
        <w:rPr>
          <w:rFonts w:ascii="Bookman Old Style" w:hAnsi="Bookman Old Style"/>
          <w:b/>
          <w:bCs/>
        </w:rPr>
        <w:instrText xml:space="preserve"> SEQ Figura \* ARABIC </w:instrText>
      </w:r>
      <w:r w:rsidRPr="00C95C13">
        <w:rPr>
          <w:rFonts w:ascii="Bookman Old Style" w:hAnsi="Bookman Old Style"/>
          <w:b/>
          <w:bCs/>
        </w:rPr>
        <w:fldChar w:fldCharType="separate"/>
      </w:r>
      <w:r w:rsidR="00E66E6B" w:rsidRPr="00C95C13">
        <w:rPr>
          <w:rFonts w:ascii="Bookman Old Style" w:hAnsi="Bookman Old Style"/>
          <w:b/>
          <w:bCs/>
          <w:noProof/>
        </w:rPr>
        <w:t>1</w:t>
      </w:r>
      <w:r w:rsidRPr="00C95C13">
        <w:rPr>
          <w:rFonts w:ascii="Bookman Old Style" w:hAnsi="Bookman Old Style"/>
          <w:b/>
          <w:bCs/>
          <w:noProof/>
        </w:rPr>
        <w:fldChar w:fldCharType="end"/>
      </w:r>
      <w:r w:rsidRPr="00C95C13">
        <w:rPr>
          <w:rFonts w:ascii="Bookman Old Style" w:hAnsi="Bookman Old Style"/>
          <w:b/>
          <w:bCs/>
        </w:rPr>
        <w:t xml:space="preserve">. La mappa dei comuni amministrati da donne dal 1986 ad oggi </w:t>
      </w:r>
    </w:p>
    <w:p w14:paraId="3448D683" w14:textId="77777777" w:rsidR="006A752D" w:rsidRPr="00256942" w:rsidRDefault="006A752D" w:rsidP="00754519">
      <w:pPr>
        <w:pStyle w:val="tabella"/>
        <w:jc w:val="center"/>
        <w:rPr>
          <w:rFonts w:ascii="Bookman Old Style" w:hAnsi="Bookman Old Style"/>
          <w:highlight w:val="yellow"/>
        </w:rPr>
      </w:pPr>
      <w:r w:rsidRPr="00256942">
        <w:rPr>
          <w:rFonts w:ascii="Bookman Old Style" w:hAnsi="Bookman Old Style"/>
          <w:noProof/>
        </w:rPr>
        <w:drawing>
          <wp:inline distT="0" distB="0" distL="0" distR="0" wp14:anchorId="7CCE9AA9" wp14:editId="12CE4804">
            <wp:extent cx="2381522" cy="2772641"/>
            <wp:effectExtent l="19050" t="19050" r="19050" b="27940"/>
            <wp:docPr id="171029149" name="Immagine 2" descr="Immagine che contiene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9149" name="Immagine 2" descr="Immagine che contiene mappa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58" r="40169"/>
                    <a:stretch/>
                  </pic:blipFill>
                  <pic:spPr bwMode="auto">
                    <a:xfrm>
                      <a:off x="0" y="0"/>
                      <a:ext cx="2425696" cy="2824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5A1E4D" w14:textId="77777777" w:rsidR="006A752D" w:rsidRPr="00860A30" w:rsidRDefault="006A752D" w:rsidP="00754519">
      <w:pPr>
        <w:pStyle w:val="Nessunaspaziatura"/>
        <w:jc w:val="center"/>
        <w:rPr>
          <w:rFonts w:ascii="Bookman Old Style" w:hAnsi="Bookman Old Style" w:cs="Georgia,Italic"/>
          <w:i/>
          <w:iCs/>
          <w:color w:val="808080" w:themeColor="background1" w:themeShade="80"/>
          <w:sz w:val="20"/>
          <w:szCs w:val="20"/>
        </w:rPr>
      </w:pPr>
      <w:r w:rsidRPr="00860A30">
        <w:rPr>
          <w:rFonts w:ascii="Bookman Old Style" w:hAnsi="Bookman Old Style" w:cs="Georgia,Italic"/>
          <w:i/>
          <w:iCs/>
          <w:color w:val="808080" w:themeColor="background1" w:themeShade="80"/>
          <w:sz w:val="20"/>
          <w:szCs w:val="20"/>
        </w:rPr>
        <w:t>Fonte: elaborazioni ANCI su dati Ministero dell’Interno</w:t>
      </w:r>
    </w:p>
    <w:p w14:paraId="5DFC8F71" w14:textId="7A31F9E6" w:rsidR="006A752D" w:rsidRPr="00256942" w:rsidRDefault="006A752D" w:rsidP="009D5376">
      <w:pPr>
        <w:pStyle w:val="Titolo1"/>
        <w:numPr>
          <w:ilvl w:val="0"/>
          <w:numId w:val="12"/>
        </w:numPr>
        <w:rPr>
          <w:rFonts w:ascii="Bookman Old Style" w:hAnsi="Bookman Old Style"/>
          <w:b/>
          <w:bCs/>
          <w:color w:val="auto"/>
          <w:sz w:val="32"/>
          <w:szCs w:val="32"/>
        </w:rPr>
      </w:pPr>
      <w:r w:rsidRPr="00256942">
        <w:rPr>
          <w:rFonts w:ascii="Bookman Old Style" w:hAnsi="Bookman Old Style"/>
          <w:b/>
          <w:bCs/>
          <w:color w:val="auto"/>
          <w:sz w:val="32"/>
          <w:szCs w:val="32"/>
        </w:rPr>
        <w:lastRenderedPageBreak/>
        <w:t>Focus sulle deleghe assessorili nei capoluoghi italiani</w:t>
      </w:r>
    </w:p>
    <w:p w14:paraId="3D17C422" w14:textId="77777777" w:rsidR="006A752D" w:rsidRPr="00256942" w:rsidRDefault="006A752D" w:rsidP="00317DD3">
      <w:pPr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</w:rPr>
        <w:t>Se dai paragrafi precedenti emerge una tendenza di crescita quantitativa della presenza femminile nella rappresentanza delle Amministrazioni comunali, è importante comprendere se e come il genere condizioni l’affidamento delle deleghe politiche.</w:t>
      </w:r>
    </w:p>
    <w:p w14:paraId="53CC1D46" w14:textId="77777777" w:rsidR="006A752D" w:rsidRPr="00256942" w:rsidRDefault="006A752D" w:rsidP="00317DD3">
      <w:pPr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</w:rPr>
        <w:t xml:space="preserve">A tal fine, l’ufficio banche dati e ricerche di ANCI ha analizzato attraverso i siti istituzionali dei comuni capoluogo le deleghe attribuite ai membri degli esecutivi. </w:t>
      </w:r>
    </w:p>
    <w:p w14:paraId="588BE6DC" w14:textId="77777777" w:rsidR="006A752D" w:rsidRPr="00256942" w:rsidRDefault="006A752D" w:rsidP="00317DD3">
      <w:pPr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</w:rPr>
        <w:t>La ricerca di campo è stata condotta su tutti gli assessori dei comuni capoluogo di provincia censiti nell’anagrafe degli eletti del Ministero degli interni al 17.01.2025, ovvero su 102 amministrazioni comunali e 1033 amministratori.</w:t>
      </w:r>
    </w:p>
    <w:p w14:paraId="0A247D5C" w14:textId="77777777" w:rsidR="006A752D" w:rsidRPr="00256942" w:rsidRDefault="006A752D" w:rsidP="00317DD3">
      <w:pPr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</w:rPr>
        <w:t>Per poter analizzate le deleghe, estremamente variabili nelle loro declinazioni, è stato necessario riclassificarle in 11 macrocategorie, prendendo come punto di riferimento un’analisi analoga condotta da ANCI nel 2015. Nel confronto tra quanto rilevato nel 2015 e oggi emerge un’importante tendenza: le donne non si occupano più solo di pari opportunità, scuola salute e welfare. O meglio, le deleghe legate all’ambito “casa, famiglia, scuola e politiche sociali, pari opportunità” sono attribuite prevalentemente a donne (56,5%), ma rispetto a 10 anni fa è significativamente cresciuta la presenza femminile su deleghe di maggior “peso” politico come ambiente e territorio (+11,8), lavori pubblici (+8,7), mobilità (+7,4), risorse strategiche e patrimonio (+5,4)</w:t>
      </w:r>
    </w:p>
    <w:p w14:paraId="34E9FA6E" w14:textId="23EC51A7" w:rsidR="006A752D" w:rsidRPr="00256942" w:rsidRDefault="008C2AB3" w:rsidP="008C2AB3">
      <w:pPr>
        <w:pStyle w:val="Didascalia"/>
        <w:rPr>
          <w:rFonts w:ascii="Bookman Old Style" w:hAnsi="Bookman Old Style"/>
        </w:rPr>
      </w:pPr>
      <w:r w:rsidRPr="00317DD3">
        <w:rPr>
          <w:rFonts w:ascii="Bookman Old Style" w:hAnsi="Bookman Old Style"/>
          <w:sz w:val="22"/>
          <w:szCs w:val="22"/>
        </w:rPr>
        <w:t xml:space="preserve">Tabella </w:t>
      </w:r>
      <w:r w:rsidRPr="00317DD3">
        <w:rPr>
          <w:rFonts w:ascii="Bookman Old Style" w:hAnsi="Bookman Old Style"/>
          <w:sz w:val="22"/>
          <w:szCs w:val="22"/>
        </w:rPr>
        <w:fldChar w:fldCharType="begin"/>
      </w:r>
      <w:r w:rsidRPr="00317DD3">
        <w:rPr>
          <w:rFonts w:ascii="Bookman Old Style" w:hAnsi="Bookman Old Style"/>
          <w:sz w:val="22"/>
          <w:szCs w:val="22"/>
        </w:rPr>
        <w:instrText xml:space="preserve"> SEQ Tabella \* ARABIC </w:instrText>
      </w:r>
      <w:r w:rsidRPr="00317DD3">
        <w:rPr>
          <w:rFonts w:ascii="Bookman Old Style" w:hAnsi="Bookman Old Style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sz w:val="22"/>
          <w:szCs w:val="22"/>
        </w:rPr>
        <w:t>11</w:t>
      </w:r>
      <w:r w:rsidRPr="00317DD3">
        <w:rPr>
          <w:rFonts w:ascii="Bookman Old Style" w:hAnsi="Bookman Old Style"/>
          <w:noProof/>
          <w:sz w:val="22"/>
          <w:szCs w:val="22"/>
        </w:rPr>
        <w:fldChar w:fldCharType="end"/>
      </w:r>
      <w:r w:rsidRPr="00317DD3">
        <w:rPr>
          <w:rFonts w:ascii="Bookman Old Style" w:hAnsi="Bookman Old Style"/>
          <w:sz w:val="22"/>
          <w:szCs w:val="22"/>
        </w:rPr>
        <w:t>.</w:t>
      </w:r>
      <w:r w:rsidR="00D929A2" w:rsidRPr="00317DD3">
        <w:rPr>
          <w:rFonts w:ascii="Bookman Old Style" w:hAnsi="Bookman Old Style"/>
          <w:sz w:val="22"/>
          <w:szCs w:val="22"/>
        </w:rPr>
        <w:t xml:space="preserve"> </w:t>
      </w:r>
      <w:r w:rsidR="00D929A2" w:rsidRPr="008C2AB3">
        <w:rPr>
          <w:rFonts w:ascii="Bookman Old Style" w:hAnsi="Bookman Old Style"/>
          <w:sz w:val="22"/>
          <w:szCs w:val="22"/>
        </w:rPr>
        <w:t>Incidenza delle deleghe attribuite ad assessori donna nei comuni capoluogo per ambito di policy, anni 2015 e 2025 (val.% e differenza)</w:t>
      </w:r>
    </w:p>
    <w:tbl>
      <w:tblPr>
        <w:tblW w:w="50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7"/>
        <w:gridCol w:w="779"/>
        <w:gridCol w:w="637"/>
        <w:gridCol w:w="1213"/>
      </w:tblGrid>
      <w:tr w:rsidR="005611A1" w:rsidRPr="008C2AB3" w14:paraId="69825EAD" w14:textId="77777777" w:rsidTr="008C2AB3">
        <w:trPr>
          <w:trHeight w:val="288"/>
        </w:trPr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  <w:vAlign w:val="bottom"/>
            <w:hideMark/>
          </w:tcPr>
          <w:p w14:paraId="669A40A6" w14:textId="6D6EB45B" w:rsidR="006A752D" w:rsidRPr="008C2AB3" w:rsidRDefault="005611A1" w:rsidP="00851A6A">
            <w:pPr>
              <w:spacing w:line="240" w:lineRule="auto"/>
              <w:rPr>
                <w:rFonts w:ascii="Bookman Old Style" w:eastAsia="Times New Roman" w:hAnsi="Bookman Old Style" w:cs="Times New Roman"/>
                <w:color w:val="FFFFFF" w:themeColor="background1"/>
                <w:sz w:val="20"/>
                <w:szCs w:val="20"/>
                <w:lang w:eastAsia="it-IT"/>
              </w:rPr>
            </w:pPr>
            <w:r w:rsidRPr="008C2AB3">
              <w:rPr>
                <w:rFonts w:ascii="Bookman Old Style" w:eastAsia="Times New Roman" w:hAnsi="Bookman Old Style" w:cs="Times New Roman"/>
                <w:color w:val="FFFFFF" w:themeColor="background1"/>
                <w:sz w:val="20"/>
                <w:szCs w:val="20"/>
                <w:lang w:eastAsia="it-IT"/>
              </w:rPr>
              <w:t>A</w:t>
            </w:r>
            <w:r w:rsidR="006A752D" w:rsidRPr="008C2AB3">
              <w:rPr>
                <w:rFonts w:ascii="Bookman Old Style" w:eastAsia="Times New Roman" w:hAnsi="Bookman Old Style" w:cs="Times New Roman"/>
                <w:color w:val="FFFFFF" w:themeColor="background1"/>
                <w:sz w:val="20"/>
                <w:szCs w:val="20"/>
                <w:lang w:eastAsia="it-IT"/>
              </w:rPr>
              <w:t>mbito</w:t>
            </w:r>
            <w:r w:rsidRPr="008C2AB3">
              <w:rPr>
                <w:rFonts w:ascii="Bookman Old Style" w:eastAsia="Times New Roman" w:hAnsi="Bookman Old Style" w:cs="Times New Roman"/>
                <w:color w:val="FFFFFF" w:themeColor="background1"/>
                <w:sz w:val="20"/>
                <w:szCs w:val="20"/>
                <w:lang w:eastAsia="it-IT"/>
              </w:rPr>
              <w:t xml:space="preserve"> di policy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  <w:vAlign w:val="bottom"/>
            <w:hideMark/>
          </w:tcPr>
          <w:p w14:paraId="46AF0C93" w14:textId="77777777" w:rsidR="006A752D" w:rsidRPr="008C2AB3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FFFFFF" w:themeColor="background1"/>
                <w:sz w:val="20"/>
                <w:szCs w:val="20"/>
                <w:lang w:eastAsia="it-IT"/>
              </w:rPr>
            </w:pPr>
            <w:r w:rsidRPr="008C2AB3">
              <w:rPr>
                <w:rFonts w:ascii="Bookman Old Style" w:eastAsia="Times New Roman" w:hAnsi="Bookman Old Style" w:cs="Times New Roman"/>
                <w:color w:val="FFFFFF" w:themeColor="background1"/>
                <w:sz w:val="20"/>
                <w:szCs w:val="20"/>
                <w:lang w:eastAsia="it-IT"/>
              </w:rPr>
              <w:t>2015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  <w:vAlign w:val="bottom"/>
            <w:hideMark/>
          </w:tcPr>
          <w:p w14:paraId="44824F4D" w14:textId="77777777" w:rsidR="006A752D" w:rsidRPr="008C2AB3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FFFFFF" w:themeColor="background1"/>
                <w:sz w:val="20"/>
                <w:szCs w:val="20"/>
                <w:lang w:eastAsia="it-IT"/>
              </w:rPr>
            </w:pPr>
            <w:r w:rsidRPr="008C2AB3">
              <w:rPr>
                <w:rFonts w:ascii="Bookman Old Style" w:eastAsia="Times New Roman" w:hAnsi="Bookman Old Style" w:cs="Times New Roman"/>
                <w:color w:val="FFFFFF" w:themeColor="background1"/>
                <w:sz w:val="20"/>
                <w:szCs w:val="20"/>
                <w:lang w:eastAsia="it-IT"/>
              </w:rPr>
              <w:t>2025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  <w:vAlign w:val="bottom"/>
            <w:hideMark/>
          </w:tcPr>
          <w:p w14:paraId="68A97252" w14:textId="77777777" w:rsidR="005611A1" w:rsidRPr="008C2AB3" w:rsidRDefault="006A752D" w:rsidP="005611A1">
            <w:pPr>
              <w:spacing w:line="240" w:lineRule="auto"/>
              <w:rPr>
                <w:rFonts w:ascii="Bookman Old Style" w:eastAsia="Times New Roman" w:hAnsi="Bookman Old Style" w:cs="Times New Roman"/>
                <w:color w:val="FFFFFF" w:themeColor="background1"/>
                <w:sz w:val="20"/>
                <w:szCs w:val="20"/>
                <w:lang w:eastAsia="it-IT"/>
              </w:rPr>
            </w:pPr>
            <w:r w:rsidRPr="008C2AB3">
              <w:rPr>
                <w:rFonts w:ascii="Bookman Old Style" w:eastAsia="Times New Roman" w:hAnsi="Bookman Old Style" w:cs="Times New Roman"/>
                <w:color w:val="FFFFFF" w:themeColor="background1"/>
                <w:sz w:val="20"/>
                <w:szCs w:val="20"/>
                <w:lang w:eastAsia="it-IT"/>
              </w:rPr>
              <w:t>Differenza</w:t>
            </w:r>
            <w:r w:rsidR="005611A1" w:rsidRPr="008C2AB3">
              <w:rPr>
                <w:rFonts w:ascii="Bookman Old Style" w:eastAsia="Times New Roman" w:hAnsi="Bookman Old Style" w:cs="Times New Roman"/>
                <w:color w:val="FFFFFF" w:themeColor="background1"/>
                <w:sz w:val="20"/>
                <w:szCs w:val="20"/>
                <w:lang w:eastAsia="it-IT"/>
              </w:rPr>
              <w:t xml:space="preserve"> </w:t>
            </w:r>
          </w:p>
          <w:p w14:paraId="7ED91833" w14:textId="10AA19B8" w:rsidR="006A752D" w:rsidRPr="008C2AB3" w:rsidRDefault="006A752D" w:rsidP="005611A1">
            <w:pPr>
              <w:spacing w:line="240" w:lineRule="auto"/>
              <w:rPr>
                <w:rFonts w:ascii="Bookman Old Style" w:eastAsia="Times New Roman" w:hAnsi="Bookman Old Style" w:cs="Times New Roman"/>
                <w:color w:val="FFFFFF" w:themeColor="background1"/>
                <w:sz w:val="20"/>
                <w:szCs w:val="20"/>
                <w:lang w:eastAsia="it-IT"/>
              </w:rPr>
            </w:pPr>
            <w:r w:rsidRPr="008C2AB3">
              <w:rPr>
                <w:rFonts w:ascii="Bookman Old Style" w:eastAsia="Times New Roman" w:hAnsi="Bookman Old Style" w:cs="Times New Roman"/>
                <w:color w:val="FFFFFF" w:themeColor="background1"/>
                <w:sz w:val="20"/>
                <w:szCs w:val="20"/>
                <w:lang w:eastAsia="it-IT"/>
              </w:rPr>
              <w:t>2025</w:t>
            </w:r>
            <w:r w:rsidR="005611A1" w:rsidRPr="008C2AB3">
              <w:rPr>
                <w:rFonts w:ascii="Bookman Old Style" w:eastAsia="Times New Roman" w:hAnsi="Bookman Old Style" w:cs="Times New Roman"/>
                <w:color w:val="FFFFFF" w:themeColor="background1"/>
                <w:sz w:val="20"/>
                <w:szCs w:val="20"/>
                <w:lang w:eastAsia="it-IT"/>
              </w:rPr>
              <w:t>-2015</w:t>
            </w:r>
          </w:p>
        </w:tc>
      </w:tr>
      <w:tr w:rsidR="005611A1" w:rsidRPr="005611A1" w14:paraId="2A45A4EF" w14:textId="77777777" w:rsidTr="008C2AB3">
        <w:trPr>
          <w:trHeight w:val="288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0051" w14:textId="1242F6E4" w:rsidR="006A752D" w:rsidRPr="005611A1" w:rsidRDefault="009C2CB7" w:rsidP="00851A6A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attività</w:t>
            </w:r>
            <w:r w:rsidR="008E669B"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 xml:space="preserve"> istituzionali, decentramento, organizzazione, risorse umane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0BB9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42,8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B26B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44,0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703C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1,2</w:t>
            </w:r>
          </w:p>
        </w:tc>
      </w:tr>
      <w:tr w:rsidR="005611A1" w:rsidRPr="005611A1" w14:paraId="37506B7A" w14:textId="77777777" w:rsidTr="008C2AB3">
        <w:trPr>
          <w:trHeight w:val="288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3752" w14:textId="15BBE9CD" w:rsidR="006A752D" w:rsidRPr="005611A1" w:rsidRDefault="008E669B" w:rsidP="00851A6A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risorse strategiche e patrimonio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1E1B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26,2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B910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31,7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910D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5,4</w:t>
            </w:r>
          </w:p>
        </w:tc>
      </w:tr>
      <w:tr w:rsidR="005611A1" w:rsidRPr="005611A1" w14:paraId="30E91CE8" w14:textId="77777777" w:rsidTr="008C2AB3">
        <w:trPr>
          <w:trHeight w:val="288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F34D" w14:textId="0E84CAA9" w:rsidR="006A752D" w:rsidRPr="005611A1" w:rsidRDefault="008E669B" w:rsidP="00851A6A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urbanistica e edilizia privata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8B7E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27,6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354B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30,1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53E4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2,5</w:t>
            </w:r>
          </w:p>
        </w:tc>
      </w:tr>
      <w:tr w:rsidR="005611A1" w:rsidRPr="005611A1" w14:paraId="43D659B1" w14:textId="77777777" w:rsidTr="008C2AB3">
        <w:trPr>
          <w:trHeight w:val="288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CA44" w14:textId="41C88A60" w:rsidR="006A752D" w:rsidRPr="005611A1" w:rsidRDefault="008E669B" w:rsidP="00851A6A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salute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98AC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67,6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F5FE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36,9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06B0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-30,7</w:t>
            </w:r>
          </w:p>
        </w:tc>
      </w:tr>
      <w:tr w:rsidR="005611A1" w:rsidRPr="005611A1" w14:paraId="043909D4" w14:textId="77777777" w:rsidTr="008C2AB3">
        <w:trPr>
          <w:trHeight w:val="288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A748" w14:textId="42C31D37" w:rsidR="006A752D" w:rsidRPr="005611A1" w:rsidRDefault="009C2CB7" w:rsidP="00851A6A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mobilità</w:t>
            </w:r>
            <w:r w:rsidR="008E669B"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 xml:space="preserve">, </w:t>
            </w: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viabilità</w:t>
            </w:r>
            <w:r w:rsidR="008E669B"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 xml:space="preserve"> e trasporti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2FAD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17,4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D45F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24,8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EFCA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7,4</w:t>
            </w:r>
          </w:p>
        </w:tc>
      </w:tr>
      <w:tr w:rsidR="005611A1" w:rsidRPr="005611A1" w14:paraId="56CA120A" w14:textId="77777777" w:rsidTr="008C2AB3">
        <w:trPr>
          <w:trHeight w:val="288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BDCB" w14:textId="2F899690" w:rsidR="006A752D" w:rsidRPr="005611A1" w:rsidRDefault="008E669B" w:rsidP="00851A6A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 xml:space="preserve">lavoro, artigianato, commercio e </w:t>
            </w:r>
            <w:r w:rsidR="009C2CB7"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attività</w:t>
            </w: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 xml:space="preserve"> produttive, sviluppo economico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DBEE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41,7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025E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42,6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9FDF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0,9</w:t>
            </w:r>
          </w:p>
        </w:tc>
      </w:tr>
      <w:tr w:rsidR="005611A1" w:rsidRPr="005611A1" w14:paraId="3AA8DD1A" w14:textId="77777777" w:rsidTr="008C2AB3">
        <w:trPr>
          <w:trHeight w:val="288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F648" w14:textId="6406D842" w:rsidR="006A752D" w:rsidRPr="005611A1" w:rsidRDefault="008E669B" w:rsidP="00851A6A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lavori pubblici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EA2B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15,5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4E6F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24,2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D7DC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8,7</w:t>
            </w:r>
          </w:p>
        </w:tc>
      </w:tr>
      <w:tr w:rsidR="005611A1" w:rsidRPr="005611A1" w14:paraId="0DABBA17" w14:textId="77777777" w:rsidTr="008C2AB3">
        <w:trPr>
          <w:trHeight w:val="288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018A" w14:textId="62F56E1D" w:rsidR="006A752D" w:rsidRPr="005611A1" w:rsidRDefault="008E669B" w:rsidP="00851A6A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 xml:space="preserve">casa, famiglia, scuola e politiche sociali, pari </w:t>
            </w:r>
            <w:r w:rsidR="009C2CB7"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opportunità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F5D6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55,7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B909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56,5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3AC7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0,8</w:t>
            </w:r>
          </w:p>
        </w:tc>
      </w:tr>
      <w:tr w:rsidR="005611A1" w:rsidRPr="005611A1" w14:paraId="3C85D589" w14:textId="77777777" w:rsidTr="008C2AB3">
        <w:trPr>
          <w:trHeight w:val="288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B703" w14:textId="430EF527" w:rsidR="006A752D" w:rsidRPr="005611A1" w:rsidRDefault="008E669B" w:rsidP="00851A6A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cultura, turismo, sport e tempo libero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997A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39,1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9750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36,7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C889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-2,4</w:t>
            </w:r>
          </w:p>
        </w:tc>
      </w:tr>
      <w:tr w:rsidR="005611A1" w:rsidRPr="005611A1" w14:paraId="4DB45E97" w14:textId="77777777" w:rsidTr="008C2AB3">
        <w:trPr>
          <w:trHeight w:val="288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B139" w14:textId="31D23D32" w:rsidR="006A752D" w:rsidRPr="005611A1" w:rsidRDefault="008E669B" w:rsidP="00851A6A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ambiente e territorio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E15A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28,6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071A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40,4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15E9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11,8</w:t>
            </w:r>
          </w:p>
        </w:tc>
      </w:tr>
      <w:tr w:rsidR="005611A1" w:rsidRPr="005611A1" w14:paraId="396CED69" w14:textId="77777777" w:rsidTr="008C2AB3">
        <w:trPr>
          <w:trHeight w:val="288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A39F" w14:textId="4D31A554" w:rsidR="006A752D" w:rsidRPr="005611A1" w:rsidRDefault="008E669B" w:rsidP="00851A6A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sicurezza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B94C" w14:textId="77777777" w:rsidR="006A752D" w:rsidRPr="005611A1" w:rsidRDefault="006A752D" w:rsidP="00851A6A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nd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445F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32,0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A6FC" w14:textId="77777777" w:rsidR="006A752D" w:rsidRPr="005611A1" w:rsidRDefault="006A752D" w:rsidP="00851A6A">
            <w:pPr>
              <w:spacing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611A1" w:rsidRPr="005611A1" w14:paraId="4721A221" w14:textId="77777777" w:rsidTr="008C2AB3">
        <w:trPr>
          <w:trHeight w:val="288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326" w14:textId="77777777" w:rsidR="006A752D" w:rsidRPr="005611A1" w:rsidRDefault="006A752D" w:rsidP="00851A6A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 deleghe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9FA8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it-IT"/>
              </w:rPr>
              <w:t>38,2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A203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it-IT"/>
              </w:rPr>
              <w:t>39,1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067C" w14:textId="77777777" w:rsidR="006A752D" w:rsidRPr="005611A1" w:rsidRDefault="006A752D" w:rsidP="00851A6A">
            <w:pPr>
              <w:spacing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11A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it-IT"/>
              </w:rPr>
              <w:t>0,9</w:t>
            </w:r>
          </w:p>
        </w:tc>
      </w:tr>
    </w:tbl>
    <w:p w14:paraId="6D9EA482" w14:textId="2A1FCB7F" w:rsidR="00317DD3" w:rsidRPr="00860A30" w:rsidRDefault="00317DD3" w:rsidP="00317DD3">
      <w:pPr>
        <w:pStyle w:val="Nessunaspaziatura"/>
        <w:rPr>
          <w:rFonts w:ascii="Bookman Old Style" w:hAnsi="Bookman Old Style" w:cs="Georgia,Italic"/>
          <w:i/>
          <w:iCs/>
          <w:color w:val="808080" w:themeColor="background1" w:themeShade="80"/>
          <w:sz w:val="20"/>
          <w:szCs w:val="20"/>
        </w:rPr>
      </w:pPr>
      <w:r w:rsidRPr="00860A30">
        <w:rPr>
          <w:rFonts w:ascii="Bookman Old Style" w:hAnsi="Bookman Old Style" w:cs="Georgia,Italic"/>
          <w:i/>
          <w:iCs/>
          <w:color w:val="808080" w:themeColor="background1" w:themeShade="80"/>
          <w:sz w:val="20"/>
          <w:szCs w:val="20"/>
        </w:rPr>
        <w:t xml:space="preserve">Fonte: elaborazioni ANCI su dati </w:t>
      </w:r>
      <w:r w:rsidR="00E60692">
        <w:rPr>
          <w:rFonts w:ascii="Bookman Old Style" w:hAnsi="Bookman Old Style" w:cs="Georgia,Italic"/>
          <w:i/>
          <w:iCs/>
          <w:color w:val="808080" w:themeColor="background1" w:themeShade="80"/>
          <w:sz w:val="20"/>
          <w:szCs w:val="20"/>
        </w:rPr>
        <w:t>siti istituzionali Comuni capoluogo</w:t>
      </w:r>
    </w:p>
    <w:p w14:paraId="7055B928" w14:textId="77777777" w:rsidR="006A752D" w:rsidRPr="00256942" w:rsidRDefault="006A752D" w:rsidP="006A752D">
      <w:pPr>
        <w:rPr>
          <w:rFonts w:ascii="Bookman Old Style" w:hAnsi="Bookman Old Style"/>
        </w:rPr>
      </w:pPr>
    </w:p>
    <w:p w14:paraId="23AD2653" w14:textId="6DCBF09D" w:rsidR="006A752D" w:rsidRDefault="006A752D" w:rsidP="005611A1">
      <w:pPr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</w:rPr>
        <w:t xml:space="preserve">Nel 2025 le deleghe legate all’ambito “casa, famiglia, scuola e politiche sociali, pari opportunità” rappresentano ancora il 24% del totale delle deleghe attribuite alle donne </w:t>
      </w:r>
      <w:r w:rsidRPr="00256942">
        <w:rPr>
          <w:rFonts w:ascii="Bookman Old Style" w:hAnsi="Bookman Old Style"/>
        </w:rPr>
        <w:lastRenderedPageBreak/>
        <w:t>assessore, seguite da Attività istituzionali (16,6%), cultura, turismo, sport e tempo libero (13,1%), ma senza dubbio si legge nei dati un profilo di deleghe che diventa più equilibrato.</w:t>
      </w:r>
    </w:p>
    <w:p w14:paraId="31FC5A6A" w14:textId="26E05C15" w:rsidR="00E60692" w:rsidRPr="00DC7A71" w:rsidRDefault="00DC7A71" w:rsidP="005611A1">
      <w:pPr>
        <w:jc w:val="both"/>
        <w:rPr>
          <w:rFonts w:ascii="Bookman Old Style" w:hAnsi="Bookman Old Style"/>
          <w:b/>
          <w:bCs/>
        </w:rPr>
      </w:pPr>
      <w:r w:rsidRPr="00DC7A71">
        <w:rPr>
          <w:rFonts w:ascii="Bookman Old Style" w:hAnsi="Bookman Old Style"/>
          <w:b/>
          <w:bCs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0FE758E5" wp14:editId="346F37A6">
            <wp:simplePos x="0" y="0"/>
            <wp:positionH relativeFrom="margin">
              <wp:align>left</wp:align>
            </wp:positionH>
            <wp:positionV relativeFrom="paragraph">
              <wp:posOffset>226406</wp:posOffset>
            </wp:positionV>
            <wp:extent cx="5795645" cy="4531644"/>
            <wp:effectExtent l="0" t="0" r="14605" b="2540"/>
            <wp:wrapTopAndBottom/>
            <wp:docPr id="1851375633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7FDAB746-A51A-6167-2837-9563A33665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E60692" w:rsidRPr="00DC7A71">
        <w:rPr>
          <w:rFonts w:ascii="Bookman Old Style" w:hAnsi="Bookman Old Style"/>
          <w:b/>
          <w:bCs/>
        </w:rPr>
        <w:t>Grafico</w:t>
      </w:r>
      <w:r w:rsidR="00D25033" w:rsidRPr="00DC7A71">
        <w:rPr>
          <w:rFonts w:ascii="Bookman Old Style" w:hAnsi="Bookman Old Style"/>
          <w:b/>
          <w:bCs/>
        </w:rPr>
        <w:t xml:space="preserve"> </w:t>
      </w:r>
      <w:r w:rsidR="00C32197">
        <w:rPr>
          <w:rFonts w:ascii="Bookman Old Style" w:hAnsi="Bookman Old Style"/>
          <w:b/>
          <w:bCs/>
        </w:rPr>
        <w:t xml:space="preserve">2 </w:t>
      </w:r>
      <w:r w:rsidR="00D25033" w:rsidRPr="00DC7A71">
        <w:rPr>
          <w:rFonts w:ascii="Bookman Old Style" w:hAnsi="Bookman Old Style"/>
          <w:b/>
          <w:bCs/>
        </w:rPr>
        <w:t xml:space="preserve">– Distribuzione percentuale delle deleghe </w:t>
      </w:r>
      <w:r w:rsidRPr="00DC7A71">
        <w:rPr>
          <w:rFonts w:ascii="Bookman Old Style" w:hAnsi="Bookman Old Style"/>
          <w:b/>
          <w:bCs/>
        </w:rPr>
        <w:t>assegnate ad assessori donna</w:t>
      </w:r>
    </w:p>
    <w:p w14:paraId="6C61DDF0" w14:textId="2AFD5D87" w:rsidR="00E60692" w:rsidRPr="00860A30" w:rsidRDefault="00E60692" w:rsidP="00E60692">
      <w:pPr>
        <w:pStyle w:val="Nessunaspaziatura"/>
        <w:rPr>
          <w:rFonts w:ascii="Bookman Old Style" w:hAnsi="Bookman Old Style" w:cs="Georgia,Italic"/>
          <w:i/>
          <w:iCs/>
          <w:color w:val="808080" w:themeColor="background1" w:themeShade="80"/>
          <w:sz w:val="20"/>
          <w:szCs w:val="20"/>
        </w:rPr>
      </w:pPr>
      <w:r w:rsidRPr="00860A30">
        <w:rPr>
          <w:rFonts w:ascii="Bookman Old Style" w:hAnsi="Bookman Old Style" w:cs="Georgia,Italic"/>
          <w:i/>
          <w:iCs/>
          <w:color w:val="808080" w:themeColor="background1" w:themeShade="80"/>
          <w:sz w:val="20"/>
          <w:szCs w:val="20"/>
        </w:rPr>
        <w:t xml:space="preserve">Fonte: elaborazioni ANCI su dati </w:t>
      </w:r>
      <w:r>
        <w:rPr>
          <w:rFonts w:ascii="Bookman Old Style" w:hAnsi="Bookman Old Style" w:cs="Georgia,Italic"/>
          <w:i/>
          <w:iCs/>
          <w:color w:val="808080" w:themeColor="background1" w:themeShade="80"/>
          <w:sz w:val="20"/>
          <w:szCs w:val="20"/>
        </w:rPr>
        <w:t>siti istituzionali Comuni capoluogo</w:t>
      </w:r>
    </w:p>
    <w:p w14:paraId="6C7820EC" w14:textId="4E18CC59" w:rsidR="00DC7A71" w:rsidRDefault="00DC7A71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5F5AE22A" w14:textId="22E77EB0" w:rsidR="006A752D" w:rsidRPr="00256942" w:rsidRDefault="002424EA" w:rsidP="00256942">
      <w:pPr>
        <w:pStyle w:val="Titolo1"/>
        <w:numPr>
          <w:ilvl w:val="0"/>
          <w:numId w:val="12"/>
        </w:numPr>
        <w:rPr>
          <w:rFonts w:ascii="Bookman Old Style" w:hAnsi="Bookman Old Style"/>
          <w:b/>
          <w:bCs/>
          <w:color w:val="auto"/>
          <w:sz w:val="32"/>
          <w:szCs w:val="32"/>
        </w:rPr>
      </w:pPr>
      <w:r w:rsidRPr="00256942">
        <w:rPr>
          <w:rFonts w:ascii="Bookman Old Style" w:hAnsi="Bookman Old Style"/>
          <w:b/>
          <w:bCs/>
          <w:color w:val="auto"/>
          <w:sz w:val="32"/>
          <w:szCs w:val="32"/>
        </w:rPr>
        <w:lastRenderedPageBreak/>
        <w:t xml:space="preserve"> Il lavoro nei </w:t>
      </w:r>
      <w:r w:rsidR="00A014BC" w:rsidRPr="00256942">
        <w:rPr>
          <w:rFonts w:ascii="Bookman Old Style" w:hAnsi="Bookman Old Style"/>
          <w:b/>
          <w:bCs/>
          <w:color w:val="auto"/>
          <w:sz w:val="32"/>
          <w:szCs w:val="32"/>
        </w:rPr>
        <w:t>comuni: un’analisi di genere</w:t>
      </w:r>
    </w:p>
    <w:p w14:paraId="1F426E51" w14:textId="60AE9BB8" w:rsidR="002E506F" w:rsidRPr="009760F4" w:rsidRDefault="00CE2ECE" w:rsidP="002E506F">
      <w:pPr>
        <w:jc w:val="both"/>
        <w:rPr>
          <w:rFonts w:ascii="Bookman Old Style" w:hAnsi="Bookman Old Style"/>
        </w:rPr>
      </w:pPr>
      <w:r w:rsidRPr="002E506F">
        <w:rPr>
          <w:rFonts w:ascii="Bookman Old Style" w:hAnsi="Bookman Old Style"/>
        </w:rPr>
        <w:t>Ch</w:t>
      </w:r>
      <w:r w:rsidR="00961411" w:rsidRPr="002E506F">
        <w:rPr>
          <w:rFonts w:ascii="Bookman Old Style" w:hAnsi="Bookman Old Style"/>
        </w:rPr>
        <w:t xml:space="preserve">iudiamo il dossier dando uno sguardo alle tendenze </w:t>
      </w:r>
      <w:r w:rsidR="006F059D" w:rsidRPr="002E506F">
        <w:rPr>
          <w:rFonts w:ascii="Bookman Old Style" w:hAnsi="Bookman Old Style"/>
        </w:rPr>
        <w:t xml:space="preserve">in atto </w:t>
      </w:r>
      <w:r w:rsidR="007360B4" w:rsidRPr="002E506F">
        <w:rPr>
          <w:rFonts w:ascii="Bookman Old Style" w:hAnsi="Bookman Old Style"/>
        </w:rPr>
        <w:t>ne</w:t>
      </w:r>
      <w:r w:rsidR="00C30895" w:rsidRPr="002E506F">
        <w:rPr>
          <w:rFonts w:ascii="Bookman Old Style" w:hAnsi="Bookman Old Style"/>
        </w:rPr>
        <w:t>lla struttura del personale stabile dei Comuni</w:t>
      </w:r>
      <w:r w:rsidR="00920806" w:rsidRPr="002E506F">
        <w:rPr>
          <w:rFonts w:ascii="Bookman Old Style" w:hAnsi="Bookman Old Style"/>
        </w:rPr>
        <w:t>. I dati del Conto annuale</w:t>
      </w:r>
      <w:r w:rsidR="00EB7493" w:rsidRPr="002E506F">
        <w:rPr>
          <w:rFonts w:ascii="Bookman Old Style" w:hAnsi="Bookman Old Style"/>
        </w:rPr>
        <w:t xml:space="preserve"> dell</w:t>
      </w:r>
      <w:r w:rsidR="00124C88" w:rsidRPr="002E506F">
        <w:rPr>
          <w:rFonts w:ascii="Bookman Old Style" w:hAnsi="Bookman Old Style"/>
        </w:rPr>
        <w:t xml:space="preserve">a Ragioneria dello Stato </w:t>
      </w:r>
      <w:r w:rsidR="001807C0" w:rsidRPr="002E506F">
        <w:rPr>
          <w:rFonts w:ascii="Bookman Old Style" w:hAnsi="Bookman Old Style"/>
        </w:rPr>
        <w:t xml:space="preserve">letti in una prospettiva </w:t>
      </w:r>
      <w:r w:rsidR="00620B6A" w:rsidRPr="002E506F">
        <w:rPr>
          <w:rFonts w:ascii="Bookman Old Style" w:hAnsi="Bookman Old Style"/>
        </w:rPr>
        <w:t xml:space="preserve">di medio periodo </w:t>
      </w:r>
      <w:r w:rsidR="00AA7BCF" w:rsidRPr="002E506F">
        <w:rPr>
          <w:rFonts w:ascii="Bookman Old Style" w:hAnsi="Bookman Old Style"/>
        </w:rPr>
        <w:t xml:space="preserve">fanno emergere </w:t>
      </w:r>
      <w:r w:rsidR="002E506F" w:rsidRPr="009760F4">
        <w:rPr>
          <w:rFonts w:ascii="Bookman Old Style" w:hAnsi="Bookman Old Style"/>
        </w:rPr>
        <w:t>una maggiore presenza e avanzamento delle donne nelle amministrazioni comunali italiane, sia in termini di numero di dipendenti che di occupazione di posizioni dirigenziali.</w:t>
      </w:r>
    </w:p>
    <w:p w14:paraId="70182651" w14:textId="71A03B9A" w:rsidR="009760F4" w:rsidRDefault="009760F4" w:rsidP="00214917">
      <w:pPr>
        <w:jc w:val="both"/>
        <w:rPr>
          <w:rFonts w:ascii="Bookman Old Style" w:hAnsi="Bookman Old Style"/>
        </w:rPr>
      </w:pPr>
      <w:r w:rsidRPr="009760F4">
        <w:rPr>
          <w:rFonts w:ascii="Bookman Old Style" w:hAnsi="Bookman Old Style"/>
        </w:rPr>
        <w:t>La percentuale di donne impiegate stabilmente nei comuni è cresciuta significativamente negli ultimi 10 anni, passando dal 52,2% del 2012 al 57,0% del 2022. Questo aumento di 4,7 punti percentuali indica un chiaro trend di femminilizzazione del personale comunale.</w:t>
      </w:r>
    </w:p>
    <w:p w14:paraId="6B7DCD4E" w14:textId="5462EEEA" w:rsidR="00D23D00" w:rsidRDefault="00D23D00" w:rsidP="0021491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Molte le ragioni alla base di quest</w:t>
      </w:r>
      <w:r w:rsidR="00837A42">
        <w:rPr>
          <w:rFonts w:ascii="Bookman Old Style" w:hAnsi="Bookman Old Style"/>
        </w:rPr>
        <w:t>o incremento</w:t>
      </w:r>
      <w:r w:rsidR="00E26546">
        <w:rPr>
          <w:rFonts w:ascii="Bookman Old Style" w:hAnsi="Bookman Old Style"/>
        </w:rPr>
        <w:t>, per altro non limitato alle funzioni locali,</w:t>
      </w:r>
      <w:r w:rsidR="00241181">
        <w:rPr>
          <w:rFonts w:ascii="Bookman Old Style" w:hAnsi="Bookman Old Style"/>
        </w:rPr>
        <w:t xml:space="preserve"> </w:t>
      </w:r>
      <w:r w:rsidR="00CA4474">
        <w:rPr>
          <w:rFonts w:ascii="Bookman Old Style" w:hAnsi="Bookman Old Style"/>
        </w:rPr>
        <w:t xml:space="preserve">non ultime le </w:t>
      </w:r>
      <w:r w:rsidR="00241181" w:rsidRPr="00241181">
        <w:rPr>
          <w:rFonts w:ascii="Bookman Old Style" w:hAnsi="Bookman Old Style"/>
        </w:rPr>
        <w:t>misure per promuovere la parità di genere, incentivando l'ingresso delle donne nei settori pubblici e rafforzando le politiche di inclusione.</w:t>
      </w:r>
      <w:r w:rsidR="001C7021">
        <w:rPr>
          <w:rFonts w:ascii="Bookman Old Style" w:hAnsi="Bookman Old Style"/>
        </w:rPr>
        <w:t xml:space="preserve"> </w:t>
      </w:r>
    </w:p>
    <w:p w14:paraId="0B8E4BA4" w14:textId="1E49F1F5" w:rsidR="008C2AB3" w:rsidRDefault="008C2AB3" w:rsidP="008C2AB3">
      <w:pPr>
        <w:pStyle w:val="Didascalia"/>
        <w:rPr>
          <w:rFonts w:ascii="Bookman Old Style" w:hAnsi="Bookman Old Style"/>
        </w:rPr>
      </w:pPr>
      <w:r w:rsidRPr="00317DD3">
        <w:rPr>
          <w:rFonts w:ascii="Bookman Old Style" w:hAnsi="Bookman Old Style"/>
          <w:sz w:val="22"/>
          <w:szCs w:val="22"/>
        </w:rPr>
        <w:t xml:space="preserve">Tabella </w:t>
      </w:r>
      <w:r w:rsidRPr="00317DD3">
        <w:rPr>
          <w:rFonts w:ascii="Bookman Old Style" w:hAnsi="Bookman Old Style"/>
          <w:sz w:val="22"/>
          <w:szCs w:val="22"/>
        </w:rPr>
        <w:fldChar w:fldCharType="begin"/>
      </w:r>
      <w:r w:rsidRPr="00317DD3">
        <w:rPr>
          <w:rFonts w:ascii="Bookman Old Style" w:hAnsi="Bookman Old Style"/>
          <w:sz w:val="22"/>
          <w:szCs w:val="22"/>
        </w:rPr>
        <w:instrText xml:space="preserve"> SEQ Tabella \* ARABIC </w:instrText>
      </w:r>
      <w:r w:rsidRPr="00317DD3">
        <w:rPr>
          <w:rFonts w:ascii="Bookman Old Style" w:hAnsi="Bookman Old Style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sz w:val="22"/>
          <w:szCs w:val="22"/>
        </w:rPr>
        <w:t>12</w:t>
      </w:r>
      <w:r w:rsidRPr="00317DD3">
        <w:rPr>
          <w:rFonts w:ascii="Bookman Old Style" w:hAnsi="Bookman Old Style"/>
          <w:noProof/>
          <w:sz w:val="22"/>
          <w:szCs w:val="22"/>
        </w:rPr>
        <w:fldChar w:fldCharType="end"/>
      </w:r>
      <w:r w:rsidRPr="00317DD3">
        <w:rPr>
          <w:rFonts w:ascii="Bookman Old Style" w:hAnsi="Bookman Old Style"/>
          <w:sz w:val="22"/>
          <w:szCs w:val="22"/>
        </w:rPr>
        <w:t xml:space="preserve">. </w:t>
      </w:r>
      <w:r w:rsidRPr="008C2AB3">
        <w:rPr>
          <w:rFonts w:ascii="Bookman Old Style" w:hAnsi="Bookman Old Style"/>
          <w:sz w:val="22"/>
          <w:szCs w:val="22"/>
        </w:rPr>
        <w:t>Incidenza del personale femminile sul totale del personale stabile dei Comuni negli ultimi 10 anni per categoria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7"/>
        <w:gridCol w:w="1094"/>
        <w:gridCol w:w="1094"/>
        <w:gridCol w:w="3383"/>
      </w:tblGrid>
      <w:tr w:rsidR="00B1120D" w:rsidRPr="00972507" w14:paraId="3B9F0A27" w14:textId="77777777" w:rsidTr="00B1120D">
        <w:trPr>
          <w:trHeight w:val="288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  <w:vAlign w:val="bottom"/>
            <w:hideMark/>
          </w:tcPr>
          <w:p w14:paraId="2A272A7A" w14:textId="77777777" w:rsidR="00A0643A" w:rsidRPr="00972507" w:rsidRDefault="00A0643A" w:rsidP="00851A6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 w:rsidRPr="00972507">
              <w:rPr>
                <w:rFonts w:ascii="Bookman Old Style" w:eastAsia="Times New Roman" w:hAnsi="Bookman Old Style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  <w:vAlign w:val="bottom"/>
            <w:hideMark/>
          </w:tcPr>
          <w:p w14:paraId="3B954D28" w14:textId="77777777" w:rsidR="00A0643A" w:rsidRPr="00972507" w:rsidRDefault="00A0643A" w:rsidP="00851A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 w:rsidRPr="00972507">
              <w:rPr>
                <w:rFonts w:ascii="Bookman Old Style" w:eastAsia="Times New Roman" w:hAnsi="Bookman Old Style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bottom"/>
          </w:tcPr>
          <w:p w14:paraId="69BDD244" w14:textId="77777777" w:rsidR="00A0643A" w:rsidRPr="00972507" w:rsidRDefault="00A0643A" w:rsidP="00851A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 w:rsidRPr="00972507">
              <w:rPr>
                <w:rFonts w:ascii="Bookman Old Style" w:eastAsia="Times New Roman" w:hAnsi="Bookman Old Style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  <w:vAlign w:val="bottom"/>
            <w:hideMark/>
          </w:tcPr>
          <w:p w14:paraId="323879A2" w14:textId="77777777" w:rsidR="00A0643A" w:rsidRPr="00972507" w:rsidRDefault="00A0643A" w:rsidP="00851A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 w:rsidRPr="00972507">
              <w:rPr>
                <w:rFonts w:ascii="Bookman Old Style" w:eastAsia="Times New Roman" w:hAnsi="Bookman Old Style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Diff. % 2022-2012</w:t>
            </w:r>
          </w:p>
        </w:tc>
      </w:tr>
      <w:tr w:rsidR="00A0643A" w:rsidRPr="00256942" w14:paraId="055AC65B" w14:textId="77777777" w:rsidTr="00B1120D">
        <w:trPr>
          <w:trHeight w:val="288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554CE3" w14:textId="28D3423A" w:rsidR="00A0643A" w:rsidRPr="00256942" w:rsidRDefault="00B1120D" w:rsidP="00851A6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  <w:t>segretari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738EAF" w14:textId="77777777" w:rsidR="00A0643A" w:rsidRPr="00256942" w:rsidRDefault="00A0643A" w:rsidP="00851A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  <w:t>48,2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35B0D4" w14:textId="77777777" w:rsidR="00A0643A" w:rsidRPr="00256942" w:rsidRDefault="00A0643A" w:rsidP="00851A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  <w:t>54,0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CDAC60" w14:textId="77777777" w:rsidR="00A0643A" w:rsidRPr="00256942" w:rsidRDefault="00A0643A" w:rsidP="00851A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  <w:t>5,8</w:t>
            </w:r>
          </w:p>
        </w:tc>
      </w:tr>
      <w:tr w:rsidR="00A0643A" w:rsidRPr="00256942" w14:paraId="74B5C2C3" w14:textId="77777777" w:rsidTr="00B1120D">
        <w:trPr>
          <w:trHeight w:val="288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783EB2" w14:textId="67069C9A" w:rsidR="00A0643A" w:rsidRPr="00256942" w:rsidRDefault="00B1120D" w:rsidP="00851A6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  <w:t>dirigenti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09D787" w14:textId="77777777" w:rsidR="00A0643A" w:rsidRPr="00256942" w:rsidRDefault="00A0643A" w:rsidP="00851A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  <w:t>34,9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9E3DF7" w14:textId="77777777" w:rsidR="00A0643A" w:rsidRPr="00256942" w:rsidRDefault="00A0643A" w:rsidP="00851A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  <w:t>37,7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BC2A76" w14:textId="77777777" w:rsidR="00A0643A" w:rsidRPr="00256942" w:rsidRDefault="00A0643A" w:rsidP="00851A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  <w:t>2,8</w:t>
            </w:r>
          </w:p>
        </w:tc>
      </w:tr>
      <w:tr w:rsidR="00A0643A" w:rsidRPr="00256942" w14:paraId="1A7A4062" w14:textId="77777777" w:rsidTr="00B1120D">
        <w:trPr>
          <w:trHeight w:val="288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FDA122" w14:textId="76DF18E3" w:rsidR="00A0643A" w:rsidRPr="00256942" w:rsidRDefault="00B1120D" w:rsidP="00851A6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  <w:t>personale non dirigente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1B7D94" w14:textId="77777777" w:rsidR="00A0643A" w:rsidRPr="00256942" w:rsidRDefault="00A0643A" w:rsidP="00851A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  <w:t>52,6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AD63B7" w14:textId="77777777" w:rsidR="00A0643A" w:rsidRPr="00256942" w:rsidRDefault="00A0643A" w:rsidP="00851A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  <w:t>57,3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D75239" w14:textId="77777777" w:rsidR="00A0643A" w:rsidRPr="00256942" w:rsidRDefault="00A0643A" w:rsidP="00851A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  <w:t>4,7</w:t>
            </w:r>
          </w:p>
        </w:tc>
      </w:tr>
      <w:tr w:rsidR="00A0643A" w:rsidRPr="00256942" w14:paraId="1F82E7B8" w14:textId="77777777" w:rsidTr="00B1120D">
        <w:trPr>
          <w:trHeight w:val="288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04A3D3" w14:textId="63FD4899" w:rsidR="00A0643A" w:rsidRPr="00256942" w:rsidRDefault="00B1120D" w:rsidP="00851A6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  <w:t>altro personale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0DC6A5" w14:textId="77777777" w:rsidR="00A0643A" w:rsidRPr="00256942" w:rsidRDefault="00A0643A" w:rsidP="00851A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  <w:t>31,3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8A7E7C" w14:textId="77777777" w:rsidR="00A0643A" w:rsidRPr="00256942" w:rsidRDefault="00A0643A" w:rsidP="00851A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  <w:t>41,6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232D05" w14:textId="77777777" w:rsidR="00A0643A" w:rsidRPr="00256942" w:rsidRDefault="00A0643A" w:rsidP="00851A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</w:pPr>
            <w:r w:rsidRPr="00256942">
              <w:rPr>
                <w:rFonts w:ascii="Bookman Old Style" w:eastAsia="Times New Roman" w:hAnsi="Bookman Old Style" w:cs="Calibri"/>
                <w:color w:val="000000"/>
                <w:kern w:val="0"/>
                <w:lang w:eastAsia="it-IT"/>
                <w14:ligatures w14:val="none"/>
              </w:rPr>
              <w:t>10,3</w:t>
            </w:r>
          </w:p>
        </w:tc>
      </w:tr>
      <w:tr w:rsidR="00A0643A" w:rsidRPr="00597B0F" w14:paraId="6DEE3C15" w14:textId="77777777" w:rsidTr="00B1120D">
        <w:trPr>
          <w:trHeight w:val="288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003B95" w14:textId="77777777" w:rsidR="00A0643A" w:rsidRPr="00597B0F" w:rsidRDefault="00A0643A" w:rsidP="00851A6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97B0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FAB6BF" w14:textId="77777777" w:rsidR="00A0643A" w:rsidRPr="00597B0F" w:rsidRDefault="00A0643A" w:rsidP="00851A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97B0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52,2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417B5A" w14:textId="77777777" w:rsidR="00A0643A" w:rsidRPr="00597B0F" w:rsidRDefault="00A0643A" w:rsidP="00851A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97B0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57,0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260DDA" w14:textId="77777777" w:rsidR="00A0643A" w:rsidRPr="00597B0F" w:rsidRDefault="00A0643A" w:rsidP="00851A6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97B0F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4,7</w:t>
            </w:r>
          </w:p>
        </w:tc>
      </w:tr>
    </w:tbl>
    <w:p w14:paraId="4CF0A546" w14:textId="3A4943CB" w:rsidR="00CD79F6" w:rsidRDefault="00B1120D" w:rsidP="00214917">
      <w:pPr>
        <w:jc w:val="both"/>
        <w:rPr>
          <w:rFonts w:ascii="Bookman Old Style" w:hAnsi="Bookman Old Style"/>
        </w:rPr>
      </w:pPr>
      <w:r w:rsidRPr="00860A30">
        <w:rPr>
          <w:rFonts w:ascii="Bookman Old Style" w:hAnsi="Bookman Old Style" w:cs="Georgia,Italic"/>
          <w:i/>
          <w:iCs/>
          <w:color w:val="808080" w:themeColor="background1" w:themeShade="80"/>
          <w:sz w:val="20"/>
          <w:szCs w:val="20"/>
        </w:rPr>
        <w:t>Fonte: elaborazioni ANCI su dati</w:t>
      </w:r>
      <w:r>
        <w:rPr>
          <w:rFonts w:ascii="Bookman Old Style" w:hAnsi="Bookman Old Style" w:cs="Georgia,Italic"/>
          <w:i/>
          <w:iCs/>
          <w:color w:val="808080" w:themeColor="background1" w:themeShade="80"/>
          <w:sz w:val="20"/>
          <w:szCs w:val="20"/>
        </w:rPr>
        <w:t xml:space="preserve"> </w:t>
      </w:r>
      <w:r w:rsidR="007402B3">
        <w:rPr>
          <w:rFonts w:ascii="Bookman Old Style" w:hAnsi="Bookman Old Style" w:cs="Georgia,Italic"/>
          <w:i/>
          <w:iCs/>
          <w:color w:val="808080" w:themeColor="background1" w:themeShade="80"/>
          <w:sz w:val="20"/>
          <w:szCs w:val="20"/>
        </w:rPr>
        <w:t>RGS -</w:t>
      </w:r>
      <w:r w:rsidR="000B2134">
        <w:rPr>
          <w:rFonts w:ascii="Bookman Old Style" w:hAnsi="Bookman Old Style" w:cs="Georgia,Italic"/>
          <w:i/>
          <w:iCs/>
          <w:color w:val="808080" w:themeColor="background1" w:themeShade="80"/>
          <w:sz w:val="20"/>
          <w:szCs w:val="20"/>
        </w:rPr>
        <w:t>Conto annuale 202</w:t>
      </w:r>
      <w:r w:rsidR="007402B3">
        <w:rPr>
          <w:rFonts w:ascii="Bookman Old Style" w:hAnsi="Bookman Old Style" w:cs="Georgia,Italic"/>
          <w:i/>
          <w:iCs/>
          <w:color w:val="808080" w:themeColor="background1" w:themeShade="80"/>
          <w:sz w:val="20"/>
          <w:szCs w:val="20"/>
        </w:rPr>
        <w:t>3</w:t>
      </w:r>
    </w:p>
    <w:p w14:paraId="6982D959" w14:textId="2EEE764F" w:rsidR="009760F4" w:rsidRDefault="00CA1FB9" w:rsidP="00D820B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 femminil</w:t>
      </w:r>
      <w:r w:rsidR="00DA116F">
        <w:rPr>
          <w:rFonts w:ascii="Bookman Old Style" w:hAnsi="Bookman Old Style"/>
        </w:rPr>
        <w:t xml:space="preserve">izzazione del lavoro pubblico non è una tendenza </w:t>
      </w:r>
      <w:r w:rsidR="00C40F83">
        <w:rPr>
          <w:rFonts w:ascii="Bookman Old Style" w:hAnsi="Bookman Old Style"/>
        </w:rPr>
        <w:t xml:space="preserve">limitata al comparto delle funzioni </w:t>
      </w:r>
      <w:r w:rsidR="00DC63DC">
        <w:rPr>
          <w:rFonts w:ascii="Bookman Old Style" w:hAnsi="Bookman Old Style"/>
        </w:rPr>
        <w:t>locali; tuttavia,</w:t>
      </w:r>
      <w:r w:rsidR="00AC72D7">
        <w:rPr>
          <w:rFonts w:ascii="Bookman Old Style" w:hAnsi="Bookman Old Style"/>
        </w:rPr>
        <w:t xml:space="preserve"> </w:t>
      </w:r>
      <w:r w:rsidR="008A1219">
        <w:rPr>
          <w:rFonts w:ascii="Bookman Old Style" w:hAnsi="Bookman Old Style"/>
        </w:rPr>
        <w:t>co</w:t>
      </w:r>
      <w:r w:rsidR="00AA4CCC">
        <w:rPr>
          <w:rFonts w:ascii="Bookman Old Style" w:hAnsi="Bookman Old Style"/>
        </w:rPr>
        <w:t xml:space="preserve">lpisce la dinamica di crescita </w:t>
      </w:r>
      <w:r w:rsidR="006A15BA">
        <w:rPr>
          <w:rFonts w:ascii="Bookman Old Style" w:hAnsi="Bookman Old Style"/>
        </w:rPr>
        <w:t>dell</w:t>
      </w:r>
      <w:r w:rsidR="00023149">
        <w:rPr>
          <w:rFonts w:ascii="Bookman Old Style" w:hAnsi="Bookman Old Style"/>
        </w:rPr>
        <w:t xml:space="preserve">a </w:t>
      </w:r>
      <w:r w:rsidR="005F0EF4">
        <w:rPr>
          <w:rFonts w:ascii="Bookman Old Style" w:hAnsi="Bookman Old Style"/>
        </w:rPr>
        <w:t xml:space="preserve">presenza di donne ai vertici </w:t>
      </w:r>
      <w:r w:rsidR="00DC63DC">
        <w:rPr>
          <w:rFonts w:ascii="Bookman Old Style" w:hAnsi="Bookman Old Style"/>
        </w:rPr>
        <w:t xml:space="preserve">delle amministrazioni comunali. </w:t>
      </w:r>
      <w:r w:rsidR="009760F4" w:rsidRPr="009760F4">
        <w:rPr>
          <w:rFonts w:ascii="Bookman Old Style" w:hAnsi="Bookman Old Style"/>
        </w:rPr>
        <w:t>Nel 2022, il 37,7% dei dirigenti nei comuni italiani è donna, un aumento di 2,8 punti percentuali rispetto al 2012. Questa tendenza è ancora più evidente tra i segretari comunali, dove il 54% sono donne, con un aumento di 5,8 punti percentuali in 10 anni.</w:t>
      </w:r>
    </w:p>
    <w:p w14:paraId="25597435" w14:textId="77777777" w:rsidR="00815BE0" w:rsidRPr="009760F4" w:rsidRDefault="00815BE0" w:rsidP="00DC63DC">
      <w:pPr>
        <w:jc w:val="both"/>
        <w:rPr>
          <w:rFonts w:ascii="Bookman Old Style" w:hAnsi="Bookman Old Style"/>
        </w:rPr>
      </w:pPr>
      <w:r w:rsidRPr="009760F4">
        <w:rPr>
          <w:rFonts w:ascii="Bookman Old Style" w:hAnsi="Bookman Old Style"/>
        </w:rPr>
        <w:t>Nel 2022, le donne che hanno ottenuto un impiego stabile nei comuni italiani sono state oltre 16.000, circa 3.000 in più rispetto agli uomini. La maggior parte di queste assunzioni è avvenuta attraverso concorsi (13.252 donne contro 10.217 uomini). Questo dato riflette una partecipazione e un successo maggiore delle donne nei concorsi pubblici rispetto agli uomini.</w:t>
      </w:r>
    </w:p>
    <w:p w14:paraId="45B9DAE5" w14:textId="43FD52DF" w:rsidR="00972507" w:rsidRDefault="00972507" w:rsidP="00972507">
      <w:pPr>
        <w:pStyle w:val="Didascalia"/>
        <w:rPr>
          <w:rFonts w:ascii="Bookman Old Style" w:hAnsi="Bookman Old Style"/>
        </w:rPr>
      </w:pPr>
      <w:r w:rsidRPr="00317DD3">
        <w:rPr>
          <w:rFonts w:ascii="Bookman Old Style" w:hAnsi="Bookman Old Style"/>
          <w:sz w:val="22"/>
          <w:szCs w:val="22"/>
        </w:rPr>
        <w:t xml:space="preserve">Tabella </w:t>
      </w:r>
      <w:r w:rsidRPr="00317DD3">
        <w:rPr>
          <w:rFonts w:ascii="Bookman Old Style" w:hAnsi="Bookman Old Style"/>
          <w:sz w:val="22"/>
          <w:szCs w:val="22"/>
        </w:rPr>
        <w:fldChar w:fldCharType="begin"/>
      </w:r>
      <w:r w:rsidRPr="00317DD3">
        <w:rPr>
          <w:rFonts w:ascii="Bookman Old Style" w:hAnsi="Bookman Old Style"/>
          <w:sz w:val="22"/>
          <w:szCs w:val="22"/>
        </w:rPr>
        <w:instrText xml:space="preserve"> SEQ Tabella \* ARABIC </w:instrText>
      </w:r>
      <w:r w:rsidRPr="00317DD3">
        <w:rPr>
          <w:rFonts w:ascii="Bookman Old Style" w:hAnsi="Bookman Old Style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sz w:val="22"/>
          <w:szCs w:val="22"/>
        </w:rPr>
        <w:t>13</w:t>
      </w:r>
      <w:r w:rsidRPr="00317DD3">
        <w:rPr>
          <w:rFonts w:ascii="Bookman Old Style" w:hAnsi="Bookman Old Style"/>
          <w:noProof/>
          <w:sz w:val="22"/>
          <w:szCs w:val="22"/>
        </w:rPr>
        <w:fldChar w:fldCharType="end"/>
      </w:r>
      <w:r w:rsidRPr="00317DD3">
        <w:rPr>
          <w:rFonts w:ascii="Bookman Old Style" w:hAnsi="Bookman Old Style"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 xml:space="preserve">Assunti </w:t>
      </w:r>
      <w:r w:rsidR="00BB6B2A">
        <w:rPr>
          <w:rFonts w:ascii="Bookman Old Style" w:hAnsi="Bookman Old Style"/>
          <w:sz w:val="22"/>
          <w:szCs w:val="22"/>
        </w:rPr>
        <w:t xml:space="preserve">nei Comuni </w:t>
      </w:r>
      <w:r w:rsidR="00853075">
        <w:rPr>
          <w:rFonts w:ascii="Bookman Old Style" w:hAnsi="Bookman Old Style"/>
          <w:sz w:val="22"/>
          <w:szCs w:val="22"/>
        </w:rPr>
        <w:t>per causale</w:t>
      </w:r>
      <w:r w:rsidR="00BB6B2A">
        <w:rPr>
          <w:rFonts w:ascii="Bookman Old Style" w:hAnsi="Bookman Old Style"/>
          <w:sz w:val="22"/>
          <w:szCs w:val="22"/>
        </w:rPr>
        <w:t xml:space="preserve"> e genere, (</w:t>
      </w:r>
      <w:proofErr w:type="spellStart"/>
      <w:r w:rsidR="00BB6B2A">
        <w:rPr>
          <w:rFonts w:ascii="Bookman Old Style" w:hAnsi="Bookman Old Style"/>
          <w:sz w:val="22"/>
          <w:szCs w:val="22"/>
        </w:rPr>
        <w:t>v.a</w:t>
      </w:r>
      <w:proofErr w:type="spellEnd"/>
      <w:r w:rsidR="00BB6B2A">
        <w:rPr>
          <w:rFonts w:ascii="Bookman Old Style" w:hAnsi="Bookman Old Style"/>
          <w:sz w:val="22"/>
          <w:szCs w:val="22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8"/>
        <w:gridCol w:w="1150"/>
        <w:gridCol w:w="1150"/>
      </w:tblGrid>
      <w:tr w:rsidR="00DC63DC" w:rsidRPr="00853075" w14:paraId="5691A1C2" w14:textId="77777777" w:rsidTr="00853075">
        <w:trPr>
          <w:trHeight w:val="288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  <w:vAlign w:val="bottom"/>
            <w:hideMark/>
          </w:tcPr>
          <w:p w14:paraId="04A5D6DD" w14:textId="77777777" w:rsidR="00DC63DC" w:rsidRPr="00853075" w:rsidRDefault="00DC63DC" w:rsidP="00851A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 w:rsidRPr="00853075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causale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  <w:vAlign w:val="bottom"/>
            <w:hideMark/>
          </w:tcPr>
          <w:p w14:paraId="693098FA" w14:textId="77777777" w:rsidR="00DC63DC" w:rsidRPr="00853075" w:rsidRDefault="00DC63DC" w:rsidP="00851A6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853075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Uomini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  <w:vAlign w:val="bottom"/>
            <w:hideMark/>
          </w:tcPr>
          <w:p w14:paraId="08699BFB" w14:textId="77777777" w:rsidR="00DC63DC" w:rsidRPr="00853075" w:rsidRDefault="00DC63DC" w:rsidP="00851A6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853075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Donne</w:t>
            </w:r>
          </w:p>
        </w:tc>
      </w:tr>
      <w:tr w:rsidR="00DC63DC" w:rsidRPr="00F26CBA" w14:paraId="3FAC3501" w14:textId="77777777" w:rsidTr="00851A6A">
        <w:trPr>
          <w:trHeight w:val="288"/>
        </w:trPr>
        <w:tc>
          <w:tcPr>
            <w:tcW w:w="3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6472" w14:textId="77777777" w:rsidR="00DC63DC" w:rsidRPr="00F26CBA" w:rsidRDefault="00DC63DC" w:rsidP="0085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nomina da concorso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4281" w14:textId="77777777" w:rsidR="00DC63DC" w:rsidRPr="00F26CBA" w:rsidRDefault="00DC63DC" w:rsidP="0085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10.217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2794" w14:textId="77777777" w:rsidR="00DC63DC" w:rsidRPr="00F26CBA" w:rsidRDefault="00DC63DC" w:rsidP="0085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13.252</w:t>
            </w:r>
          </w:p>
        </w:tc>
      </w:tr>
      <w:tr w:rsidR="00DC63DC" w:rsidRPr="00F26CBA" w14:paraId="6140E80C" w14:textId="77777777" w:rsidTr="00851A6A">
        <w:trPr>
          <w:trHeight w:val="288"/>
        </w:trPr>
        <w:tc>
          <w:tcPr>
            <w:tcW w:w="3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31D7" w14:textId="77777777" w:rsidR="00DC63DC" w:rsidRPr="00F26CBA" w:rsidRDefault="00DC63DC" w:rsidP="0085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altre cause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F414" w14:textId="77777777" w:rsidR="00DC63DC" w:rsidRPr="00F26CBA" w:rsidRDefault="00DC63DC" w:rsidP="0085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2.031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571D" w14:textId="77777777" w:rsidR="00DC63DC" w:rsidRPr="00F26CBA" w:rsidRDefault="00DC63DC" w:rsidP="0085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1.873</w:t>
            </w:r>
          </w:p>
        </w:tc>
      </w:tr>
      <w:tr w:rsidR="00DC63DC" w:rsidRPr="00F26CBA" w14:paraId="2FD569B7" w14:textId="77777777" w:rsidTr="00851A6A">
        <w:trPr>
          <w:trHeight w:val="288"/>
        </w:trPr>
        <w:tc>
          <w:tcPr>
            <w:tcW w:w="3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FF96" w14:textId="77777777" w:rsidR="00DC63DC" w:rsidRPr="00F26CBA" w:rsidRDefault="00DC63DC" w:rsidP="0085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stabilizzato da </w:t>
            </w:r>
            <w:proofErr w:type="spellStart"/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lsu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CE31" w14:textId="77777777" w:rsidR="00DC63DC" w:rsidRPr="00F26CBA" w:rsidRDefault="00DC63DC" w:rsidP="0085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308D" w14:textId="77777777" w:rsidR="00DC63DC" w:rsidRPr="00F26CBA" w:rsidRDefault="00DC63DC" w:rsidP="0085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266</w:t>
            </w:r>
          </w:p>
        </w:tc>
      </w:tr>
      <w:tr w:rsidR="00DC63DC" w:rsidRPr="00F26CBA" w14:paraId="7E55021D" w14:textId="77777777" w:rsidTr="00851A6A">
        <w:trPr>
          <w:trHeight w:val="288"/>
        </w:trPr>
        <w:tc>
          <w:tcPr>
            <w:tcW w:w="3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58D0" w14:textId="77777777" w:rsidR="00DC63DC" w:rsidRPr="00F26CBA" w:rsidRDefault="00DC63DC" w:rsidP="0085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assunzione per chiamata diretta (l.68/99 </w:t>
            </w:r>
            <w:proofErr w:type="spellStart"/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cat</w:t>
            </w:r>
            <w:proofErr w:type="spellEnd"/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 protette)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FA67" w14:textId="77777777" w:rsidR="00DC63DC" w:rsidRPr="00F26CBA" w:rsidRDefault="00DC63DC" w:rsidP="0085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2F43" w14:textId="77777777" w:rsidR="00DC63DC" w:rsidRPr="00F26CBA" w:rsidRDefault="00DC63DC" w:rsidP="0085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57</w:t>
            </w:r>
          </w:p>
        </w:tc>
      </w:tr>
      <w:tr w:rsidR="00DC63DC" w:rsidRPr="00F26CBA" w14:paraId="07A07148" w14:textId="77777777" w:rsidTr="00851A6A">
        <w:trPr>
          <w:trHeight w:val="288"/>
        </w:trPr>
        <w:tc>
          <w:tcPr>
            <w:tcW w:w="3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1E81" w14:textId="77777777" w:rsidR="00DC63DC" w:rsidRPr="00F26CBA" w:rsidRDefault="00DC63DC" w:rsidP="0085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assunzione per chiamata numerica (l.68/99 </w:t>
            </w:r>
            <w:proofErr w:type="spellStart"/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cat</w:t>
            </w:r>
            <w:proofErr w:type="spellEnd"/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. protette)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FA06" w14:textId="77777777" w:rsidR="00DC63DC" w:rsidRPr="00F26CBA" w:rsidRDefault="00DC63DC" w:rsidP="0085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BD1A" w14:textId="77777777" w:rsidR="00DC63DC" w:rsidRPr="00F26CBA" w:rsidRDefault="00DC63DC" w:rsidP="0085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67</w:t>
            </w:r>
          </w:p>
        </w:tc>
      </w:tr>
      <w:tr w:rsidR="00DC63DC" w:rsidRPr="00F26CBA" w14:paraId="089015C8" w14:textId="77777777" w:rsidTr="00851A6A">
        <w:trPr>
          <w:trHeight w:val="288"/>
        </w:trPr>
        <w:tc>
          <w:tcPr>
            <w:tcW w:w="3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7AC0" w14:textId="77777777" w:rsidR="00DC63DC" w:rsidRPr="00F26CBA" w:rsidRDefault="00DC63DC" w:rsidP="0085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personale stabilizzato ex art. 35, c. 3-bis, </w:t>
            </w:r>
            <w:proofErr w:type="spellStart"/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dlgs</w:t>
            </w:r>
            <w:proofErr w:type="spellEnd"/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165/01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D5F1" w14:textId="77777777" w:rsidR="00DC63DC" w:rsidRPr="00F26CBA" w:rsidRDefault="00DC63DC" w:rsidP="0085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4F40" w14:textId="77777777" w:rsidR="00DC63DC" w:rsidRPr="00F26CBA" w:rsidRDefault="00DC63DC" w:rsidP="0085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72</w:t>
            </w:r>
          </w:p>
        </w:tc>
      </w:tr>
      <w:tr w:rsidR="00DC63DC" w:rsidRPr="00F26CBA" w14:paraId="60E656FF" w14:textId="77777777" w:rsidTr="009C2CB7">
        <w:trPr>
          <w:trHeight w:val="288"/>
        </w:trPr>
        <w:tc>
          <w:tcPr>
            <w:tcW w:w="3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50BB" w14:textId="77777777" w:rsidR="00DC63DC" w:rsidRPr="00F26CBA" w:rsidRDefault="00DC63DC" w:rsidP="0085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personale stabilizzato ex art.20 d.lgs. 75/2017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DCD2" w14:textId="77777777" w:rsidR="00DC63DC" w:rsidRPr="00F26CBA" w:rsidRDefault="00DC63DC" w:rsidP="0085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241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1151" w14:textId="77777777" w:rsidR="00DC63DC" w:rsidRPr="00F26CBA" w:rsidRDefault="00DC63DC" w:rsidP="0085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26C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493</w:t>
            </w:r>
          </w:p>
        </w:tc>
      </w:tr>
      <w:tr w:rsidR="00DC63DC" w:rsidRPr="00BB6B2A" w14:paraId="16DA2B3F" w14:textId="77777777" w:rsidTr="009C2CB7">
        <w:trPr>
          <w:trHeight w:val="288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572A" w14:textId="77777777" w:rsidR="00DC63DC" w:rsidRPr="00BB6B2A" w:rsidRDefault="00DC63DC" w:rsidP="00851A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BB6B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totale al netto di passaggi per mobilità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E0FD" w14:textId="77777777" w:rsidR="00DC63DC" w:rsidRPr="00BB6B2A" w:rsidRDefault="00DC63DC" w:rsidP="0085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BB6B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12.918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3821" w14:textId="77777777" w:rsidR="00DC63DC" w:rsidRPr="00BB6B2A" w:rsidRDefault="00DC63DC" w:rsidP="0085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BB6B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16.080</w:t>
            </w:r>
          </w:p>
        </w:tc>
      </w:tr>
    </w:tbl>
    <w:p w14:paraId="3A696D8D" w14:textId="77777777" w:rsidR="007402B3" w:rsidRDefault="007402B3" w:rsidP="007402B3">
      <w:pPr>
        <w:jc w:val="both"/>
        <w:rPr>
          <w:rFonts w:ascii="Bookman Old Style" w:hAnsi="Bookman Old Style"/>
        </w:rPr>
      </w:pPr>
      <w:r w:rsidRPr="00860A30">
        <w:rPr>
          <w:rFonts w:ascii="Bookman Old Style" w:hAnsi="Bookman Old Style" w:cs="Georgia,Italic"/>
          <w:i/>
          <w:iCs/>
          <w:color w:val="808080" w:themeColor="background1" w:themeShade="80"/>
          <w:sz w:val="20"/>
          <w:szCs w:val="20"/>
        </w:rPr>
        <w:t>Fonte: elaborazioni ANCI su dati</w:t>
      </w:r>
      <w:r>
        <w:rPr>
          <w:rFonts w:ascii="Bookman Old Style" w:hAnsi="Bookman Old Style" w:cs="Georgia,Italic"/>
          <w:i/>
          <w:iCs/>
          <w:color w:val="808080" w:themeColor="background1" w:themeShade="80"/>
          <w:sz w:val="20"/>
          <w:szCs w:val="20"/>
        </w:rPr>
        <w:t xml:space="preserve"> RGS -Conto annuale 2023</w:t>
      </w:r>
    </w:p>
    <w:p w14:paraId="1F7C9504" w14:textId="77777777" w:rsidR="003629EF" w:rsidRDefault="003629EF" w:rsidP="00243DFD">
      <w:pPr>
        <w:jc w:val="both"/>
        <w:rPr>
          <w:rFonts w:ascii="Bookman Old Style" w:hAnsi="Bookman Old Style"/>
        </w:rPr>
      </w:pPr>
    </w:p>
    <w:p w14:paraId="498BCDB0" w14:textId="77777777" w:rsidR="003629EF" w:rsidRDefault="003629EF" w:rsidP="00243DFD">
      <w:pPr>
        <w:jc w:val="both"/>
        <w:rPr>
          <w:rFonts w:ascii="Bookman Old Style" w:hAnsi="Bookman Old Style"/>
        </w:rPr>
      </w:pPr>
    </w:p>
    <w:p w14:paraId="3A42C012" w14:textId="096D84C9" w:rsidR="008B2DB3" w:rsidRDefault="006F2716" w:rsidP="00243DF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L’attrattività </w:t>
      </w:r>
      <w:r w:rsidR="00341408">
        <w:rPr>
          <w:rFonts w:ascii="Bookman Old Style" w:hAnsi="Bookman Old Style"/>
        </w:rPr>
        <w:t>del lavoro nei Comuni per le donne</w:t>
      </w:r>
      <w:r w:rsidR="00871044">
        <w:rPr>
          <w:rFonts w:ascii="Bookman Old Style" w:hAnsi="Bookman Old Style"/>
        </w:rPr>
        <w:t xml:space="preserve">, si legge anche attraverso </w:t>
      </w:r>
      <w:r w:rsidR="00704675">
        <w:rPr>
          <w:rFonts w:ascii="Bookman Old Style" w:hAnsi="Bookman Old Style"/>
        </w:rPr>
        <w:t xml:space="preserve">il </w:t>
      </w:r>
      <w:r w:rsidR="00E745F8">
        <w:rPr>
          <w:rFonts w:ascii="Bookman Old Style" w:hAnsi="Bookman Old Style"/>
        </w:rPr>
        <w:t xml:space="preserve">tasso di </w:t>
      </w:r>
      <w:r w:rsidR="009760F4" w:rsidRPr="009760F4">
        <w:rPr>
          <w:rFonts w:ascii="Bookman Old Style" w:hAnsi="Bookman Old Style"/>
        </w:rPr>
        <w:t xml:space="preserve">compensazione del turnover </w:t>
      </w:r>
      <w:r w:rsidR="009E0809">
        <w:rPr>
          <w:rFonts w:ascii="Bookman Old Style" w:hAnsi="Bookman Old Style"/>
        </w:rPr>
        <w:t>di genere</w:t>
      </w:r>
      <w:r w:rsidR="008B2DB3">
        <w:rPr>
          <w:rFonts w:ascii="Bookman Old Style" w:hAnsi="Bookman Old Style"/>
        </w:rPr>
        <w:t>.</w:t>
      </w:r>
    </w:p>
    <w:p w14:paraId="24B58EF2" w14:textId="7BBAB3CE" w:rsidR="00DB6C31" w:rsidRPr="00DB6C31" w:rsidRDefault="00DB6C31" w:rsidP="00D62DA1">
      <w:pPr>
        <w:jc w:val="both"/>
        <w:rPr>
          <w:rFonts w:ascii="Bookman Old Style" w:hAnsi="Bookman Old Style"/>
        </w:rPr>
      </w:pPr>
      <w:r w:rsidRPr="00DB6C31">
        <w:rPr>
          <w:rFonts w:ascii="Bookman Old Style" w:hAnsi="Bookman Old Style"/>
        </w:rPr>
        <w:t>Il dato</w:t>
      </w:r>
      <w:r w:rsidR="00E052AC">
        <w:rPr>
          <w:rFonts w:ascii="Bookman Old Style" w:hAnsi="Bookman Old Style"/>
        </w:rPr>
        <w:t xml:space="preserve"> che si attesta</w:t>
      </w:r>
      <w:r w:rsidRPr="00DB6C31">
        <w:rPr>
          <w:rFonts w:ascii="Bookman Old Style" w:hAnsi="Bookman Old Style"/>
        </w:rPr>
        <w:t xml:space="preserve"> </w:t>
      </w:r>
      <w:r w:rsidR="00E052AC" w:rsidRPr="009760F4">
        <w:rPr>
          <w:rFonts w:ascii="Bookman Old Style" w:hAnsi="Bookman Old Style"/>
        </w:rPr>
        <w:t xml:space="preserve">per le donne </w:t>
      </w:r>
      <w:r w:rsidR="00E052AC">
        <w:rPr>
          <w:rFonts w:ascii="Bookman Old Style" w:hAnsi="Bookman Old Style"/>
        </w:rPr>
        <w:t xml:space="preserve">a </w:t>
      </w:r>
      <w:r w:rsidR="00E052AC" w:rsidRPr="009760F4">
        <w:rPr>
          <w:rFonts w:ascii="Bookman Old Style" w:hAnsi="Bookman Old Style"/>
        </w:rPr>
        <w:t>106,4%</w:t>
      </w:r>
      <w:r w:rsidR="00543A15">
        <w:rPr>
          <w:rFonts w:ascii="Bookman Old Style" w:hAnsi="Bookman Old Style"/>
        </w:rPr>
        <w:t xml:space="preserve"> e </w:t>
      </w:r>
      <w:r w:rsidR="00E052AC" w:rsidRPr="009760F4">
        <w:rPr>
          <w:rFonts w:ascii="Bookman Old Style" w:hAnsi="Bookman Old Style"/>
        </w:rPr>
        <w:t xml:space="preserve">per gli uomini </w:t>
      </w:r>
      <w:r w:rsidR="00543A15">
        <w:rPr>
          <w:rFonts w:ascii="Bookman Old Style" w:hAnsi="Bookman Old Style"/>
        </w:rPr>
        <w:t xml:space="preserve">a </w:t>
      </w:r>
      <w:r w:rsidR="00E052AC" w:rsidRPr="009760F4">
        <w:rPr>
          <w:rFonts w:ascii="Bookman Old Style" w:hAnsi="Bookman Old Style"/>
        </w:rPr>
        <w:t>90,6%,</w:t>
      </w:r>
      <w:r w:rsidR="003629EF">
        <w:rPr>
          <w:rFonts w:ascii="Bookman Old Style" w:hAnsi="Bookman Old Style"/>
        </w:rPr>
        <w:t xml:space="preserve"> </w:t>
      </w:r>
      <w:r w:rsidRPr="00DB6C31">
        <w:rPr>
          <w:rFonts w:ascii="Bookman Old Style" w:hAnsi="Bookman Old Style"/>
        </w:rPr>
        <w:t xml:space="preserve">mostra che la "compensazione del turnover" per le donne (cioè la percentuale di donne che sostituiscono i dipendenti che vanno via) è più alta rispetto agli uomini. </w:t>
      </w:r>
      <w:r w:rsidR="00D62DA1">
        <w:rPr>
          <w:rFonts w:ascii="Bookman Old Style" w:hAnsi="Bookman Old Style"/>
        </w:rPr>
        <w:t>A</w:t>
      </w:r>
      <w:r w:rsidRPr="00DB6C31">
        <w:rPr>
          <w:rFonts w:ascii="Bookman Old Style" w:hAnsi="Bookman Old Style"/>
        </w:rPr>
        <w:t xml:space="preserve"> fronte di una riduzione di dipendenti, le donne ne sostituiscono più di quante siano state sostituite in passato</w:t>
      </w:r>
      <w:r w:rsidR="00605B53">
        <w:rPr>
          <w:rFonts w:ascii="Bookman Old Style" w:hAnsi="Bookman Old Style"/>
        </w:rPr>
        <w:t xml:space="preserve">, </w:t>
      </w:r>
      <w:r w:rsidRPr="00DB6C31">
        <w:rPr>
          <w:rFonts w:ascii="Bookman Old Style" w:hAnsi="Bookman Old Style"/>
        </w:rPr>
        <w:t xml:space="preserve">occupando una parte crescente dei </w:t>
      </w:r>
      <w:r w:rsidR="00DF71F5">
        <w:rPr>
          <w:rFonts w:ascii="Bookman Old Style" w:hAnsi="Bookman Old Style"/>
        </w:rPr>
        <w:t xml:space="preserve">(pochi) </w:t>
      </w:r>
      <w:r w:rsidRPr="00DB6C31">
        <w:rPr>
          <w:rFonts w:ascii="Bookman Old Style" w:hAnsi="Bookman Old Style"/>
        </w:rPr>
        <w:t>posti vacanti</w:t>
      </w:r>
      <w:r w:rsidR="00605B53">
        <w:rPr>
          <w:rFonts w:ascii="Bookman Old Style" w:hAnsi="Bookman Old Style"/>
        </w:rPr>
        <w:t>.</w:t>
      </w:r>
    </w:p>
    <w:p w14:paraId="364CDE27" w14:textId="791EF48D" w:rsidR="00F411E3" w:rsidRDefault="00F411E3" w:rsidP="00F411E3">
      <w:pPr>
        <w:pStyle w:val="Didascalia"/>
        <w:rPr>
          <w:rFonts w:ascii="Bookman Old Style" w:hAnsi="Bookman Old Style"/>
        </w:rPr>
      </w:pPr>
      <w:r w:rsidRPr="00317DD3">
        <w:rPr>
          <w:rFonts w:ascii="Bookman Old Style" w:hAnsi="Bookman Old Style"/>
          <w:sz w:val="22"/>
          <w:szCs w:val="22"/>
        </w:rPr>
        <w:t xml:space="preserve">Tabella </w:t>
      </w:r>
      <w:r w:rsidRPr="00317DD3">
        <w:rPr>
          <w:rFonts w:ascii="Bookman Old Style" w:hAnsi="Bookman Old Style"/>
          <w:sz w:val="22"/>
          <w:szCs w:val="22"/>
        </w:rPr>
        <w:fldChar w:fldCharType="begin"/>
      </w:r>
      <w:r w:rsidRPr="00317DD3">
        <w:rPr>
          <w:rFonts w:ascii="Bookman Old Style" w:hAnsi="Bookman Old Style"/>
          <w:sz w:val="22"/>
          <w:szCs w:val="22"/>
        </w:rPr>
        <w:instrText xml:space="preserve"> SEQ Tabella \* ARABIC </w:instrText>
      </w:r>
      <w:r w:rsidRPr="00317DD3">
        <w:rPr>
          <w:rFonts w:ascii="Bookman Old Style" w:hAnsi="Bookman Old Style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sz w:val="22"/>
          <w:szCs w:val="22"/>
        </w:rPr>
        <w:t>13</w:t>
      </w:r>
      <w:r w:rsidRPr="00317DD3">
        <w:rPr>
          <w:rFonts w:ascii="Bookman Old Style" w:hAnsi="Bookman Old Style"/>
          <w:noProof/>
          <w:sz w:val="22"/>
          <w:szCs w:val="22"/>
        </w:rPr>
        <w:fldChar w:fldCharType="end"/>
      </w:r>
      <w:r w:rsidRPr="00317DD3">
        <w:rPr>
          <w:rFonts w:ascii="Bookman Old Style" w:hAnsi="Bookman Old Style"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>Tassi di compensazione del turn-over nei Comuni e nella PA, per genere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4"/>
        <w:gridCol w:w="2186"/>
        <w:gridCol w:w="2533"/>
      </w:tblGrid>
      <w:tr w:rsidR="00B1120D" w:rsidRPr="00AA376A" w14:paraId="6CE09BC3" w14:textId="77777777" w:rsidTr="00BB6B2A">
        <w:trPr>
          <w:trHeight w:val="340"/>
        </w:trPr>
        <w:tc>
          <w:tcPr>
            <w:tcW w:w="2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156082" w:themeFill="accent1"/>
            <w:vAlign w:val="center"/>
            <w:hideMark/>
          </w:tcPr>
          <w:p w14:paraId="17793E11" w14:textId="77777777" w:rsidR="00AA376A" w:rsidRPr="00AA376A" w:rsidRDefault="00AA376A" w:rsidP="00F41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AA376A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56082" w:themeFill="accent1"/>
            <w:vAlign w:val="center"/>
            <w:hideMark/>
          </w:tcPr>
          <w:p w14:paraId="214EC9ED" w14:textId="77777777" w:rsidR="00AA376A" w:rsidRPr="00AA376A" w:rsidRDefault="00AA376A" w:rsidP="00F41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AA376A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 PA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56082" w:themeFill="accent1"/>
            <w:vAlign w:val="center"/>
            <w:hideMark/>
          </w:tcPr>
          <w:p w14:paraId="66A541F7" w14:textId="77777777" w:rsidR="00AA376A" w:rsidRPr="00AA376A" w:rsidRDefault="00AA376A" w:rsidP="00F41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FFFFFF" w:themeColor="background1"/>
                <w:kern w:val="0"/>
                <w:lang w:eastAsia="it-IT"/>
                <w14:ligatures w14:val="none"/>
              </w:rPr>
            </w:pPr>
            <w:r w:rsidRPr="00AA376A">
              <w:rPr>
                <w:rFonts w:ascii="Calibri" w:eastAsia="Times New Roman" w:hAnsi="Calibri" w:cs="Calibri"/>
                <w:i/>
                <w:color w:val="FFFFFF" w:themeColor="background1"/>
                <w:kern w:val="0"/>
                <w:lang w:eastAsia="it-IT"/>
                <w14:ligatures w14:val="none"/>
              </w:rPr>
              <w:t>COMUNI</w:t>
            </w:r>
          </w:p>
        </w:tc>
      </w:tr>
      <w:tr w:rsidR="00B1120D" w:rsidRPr="00AA376A" w14:paraId="06C71820" w14:textId="77777777" w:rsidTr="00BB6B2A">
        <w:trPr>
          <w:trHeight w:val="340"/>
        </w:trPr>
        <w:tc>
          <w:tcPr>
            <w:tcW w:w="2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46B6A" w14:textId="77777777" w:rsidR="00AA376A" w:rsidRPr="00AA376A" w:rsidRDefault="00AA376A" w:rsidP="00AA3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A376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compensazione uomini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9D126" w14:textId="77777777" w:rsidR="00AA376A" w:rsidRPr="00AA376A" w:rsidRDefault="00AA376A" w:rsidP="00AA3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A376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95,5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95A38" w14:textId="77777777" w:rsidR="00AA376A" w:rsidRPr="00AA376A" w:rsidRDefault="00AA376A" w:rsidP="00AA3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AA376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90,6</w:t>
            </w:r>
          </w:p>
        </w:tc>
      </w:tr>
      <w:tr w:rsidR="00B1120D" w:rsidRPr="00AA376A" w14:paraId="05A1B5BF" w14:textId="77777777" w:rsidTr="00BB6B2A">
        <w:trPr>
          <w:trHeight w:val="340"/>
        </w:trPr>
        <w:tc>
          <w:tcPr>
            <w:tcW w:w="2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527D1" w14:textId="77777777" w:rsidR="00AA376A" w:rsidRPr="00AA376A" w:rsidRDefault="00AA376A" w:rsidP="00AA3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A376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compensazione donne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54C80" w14:textId="77777777" w:rsidR="00AA376A" w:rsidRPr="00AA376A" w:rsidRDefault="00AA376A" w:rsidP="00AA3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A376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106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4A097" w14:textId="77777777" w:rsidR="00AA376A" w:rsidRPr="00AA376A" w:rsidRDefault="00AA376A" w:rsidP="00AA3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AA376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106,4</w:t>
            </w:r>
          </w:p>
        </w:tc>
      </w:tr>
      <w:tr w:rsidR="00B1120D" w:rsidRPr="00AA376A" w14:paraId="7690EC4C" w14:textId="77777777" w:rsidTr="00BB6B2A">
        <w:trPr>
          <w:trHeight w:val="340"/>
        </w:trPr>
        <w:tc>
          <w:tcPr>
            <w:tcW w:w="2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21A7" w14:textId="77777777" w:rsidR="00AA376A" w:rsidRPr="00AA376A" w:rsidRDefault="00AA376A" w:rsidP="00AA3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A376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compensazione totale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BF28" w14:textId="77777777" w:rsidR="00AA376A" w:rsidRPr="00AA376A" w:rsidRDefault="00AA376A" w:rsidP="00AA3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A376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101,4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36A47" w14:textId="77777777" w:rsidR="00AA376A" w:rsidRPr="00AA376A" w:rsidRDefault="00AA376A" w:rsidP="00AA3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AA376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98,8</w:t>
            </w:r>
          </w:p>
        </w:tc>
      </w:tr>
    </w:tbl>
    <w:p w14:paraId="044B399F" w14:textId="77777777" w:rsidR="007402B3" w:rsidRDefault="007402B3" w:rsidP="007402B3">
      <w:pPr>
        <w:jc w:val="both"/>
        <w:rPr>
          <w:rFonts w:ascii="Bookman Old Style" w:hAnsi="Bookman Old Style"/>
        </w:rPr>
      </w:pPr>
      <w:r w:rsidRPr="00860A30">
        <w:rPr>
          <w:rFonts w:ascii="Bookman Old Style" w:hAnsi="Bookman Old Style" w:cs="Georgia,Italic"/>
          <w:i/>
          <w:iCs/>
          <w:color w:val="808080" w:themeColor="background1" w:themeShade="80"/>
          <w:sz w:val="20"/>
          <w:szCs w:val="20"/>
        </w:rPr>
        <w:t>Fonte: elaborazioni ANCI su dati</w:t>
      </w:r>
      <w:r>
        <w:rPr>
          <w:rFonts w:ascii="Bookman Old Style" w:hAnsi="Bookman Old Style" w:cs="Georgia,Italic"/>
          <w:i/>
          <w:iCs/>
          <w:color w:val="808080" w:themeColor="background1" w:themeShade="80"/>
          <w:sz w:val="20"/>
          <w:szCs w:val="20"/>
        </w:rPr>
        <w:t xml:space="preserve"> RGS -Conto annuale 2023</w:t>
      </w:r>
    </w:p>
    <w:p w14:paraId="070C2A55" w14:textId="77777777" w:rsidR="00AA376A" w:rsidRDefault="00AA376A">
      <w:pPr>
        <w:rPr>
          <w:rFonts w:ascii="Bookman Old Style" w:hAnsi="Bookman Old Style"/>
        </w:rPr>
      </w:pPr>
    </w:p>
    <w:p w14:paraId="06FA1D5A" w14:textId="744C27B3" w:rsidR="00877A6A" w:rsidRDefault="00877A6A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F44BF7E" w14:textId="77777777" w:rsidR="00877A6A" w:rsidRPr="00317DD3" w:rsidRDefault="00877A6A" w:rsidP="00877A6A">
      <w:pPr>
        <w:pStyle w:val="Titolo2"/>
        <w:rPr>
          <w:rFonts w:ascii="Bookman Old Style" w:hAnsi="Bookman Old Style"/>
          <w:b/>
          <w:bCs/>
          <w:color w:val="auto"/>
        </w:rPr>
      </w:pPr>
      <w:bookmarkStart w:id="2" w:name="_Toc191982328"/>
      <w:r w:rsidRPr="00317DD3">
        <w:rPr>
          <w:rFonts w:ascii="Bookman Old Style" w:hAnsi="Bookman Old Style"/>
          <w:b/>
          <w:bCs/>
          <w:color w:val="auto"/>
        </w:rPr>
        <w:lastRenderedPageBreak/>
        <w:t>Alcune curiosità</w:t>
      </w:r>
      <w:bookmarkEnd w:id="2"/>
    </w:p>
    <w:p w14:paraId="0B732EBA" w14:textId="77777777" w:rsidR="00877A6A" w:rsidRPr="00256942" w:rsidRDefault="00877A6A" w:rsidP="00F626C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</w:rPr>
        <w:t xml:space="preserve">la più giovane sindaca in carica è Virginia Gili, nominata sindaca il 09/06/2024 nel comune di Villarboit (371 abitanti) in provincia di Vercelli all’età di 24 anni. </w:t>
      </w:r>
    </w:p>
    <w:p w14:paraId="5CD4430D" w14:textId="0BDDA4ED" w:rsidR="00877A6A" w:rsidRPr="00256942" w:rsidRDefault="00877A6A" w:rsidP="00F626C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</w:rPr>
        <w:t>La più giovane consigliera è Elisa Redolfi, eletta lo scorso anno all’età di 18 anni nel Comune di Seriate (25.566 abitanti) in provincia di Bergamo</w:t>
      </w:r>
      <w:r w:rsidR="00F626C2">
        <w:rPr>
          <w:rFonts w:ascii="Bookman Old Style" w:hAnsi="Bookman Old Style"/>
        </w:rPr>
        <w:t>.</w:t>
      </w:r>
    </w:p>
    <w:p w14:paraId="561D2D60" w14:textId="57A68897" w:rsidR="00877A6A" w:rsidRPr="00256942" w:rsidRDefault="00877A6A" w:rsidP="00F626C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</w:rPr>
        <w:t xml:space="preserve">Monteleone Rocca Doria, piccolo centro di 103 abitanti in provincia di Sassari, ha una giunta tutta al femminile. Infatti, la sindaca Giovannina Fresi ha accanto a </w:t>
      </w:r>
      <w:r w:rsidR="00B208F6" w:rsidRPr="00256942">
        <w:rPr>
          <w:rFonts w:ascii="Bookman Old Style" w:hAnsi="Bookman Old Style"/>
        </w:rPr>
        <w:t>sé</w:t>
      </w:r>
      <w:r w:rsidRPr="00256942">
        <w:rPr>
          <w:rFonts w:ascii="Bookman Old Style" w:hAnsi="Bookman Old Style"/>
        </w:rPr>
        <w:t xml:space="preserve"> una vice e due assessore donne.</w:t>
      </w:r>
    </w:p>
    <w:p w14:paraId="3862AC0B" w14:textId="77777777" w:rsidR="00877A6A" w:rsidRPr="00256942" w:rsidRDefault="00877A6A" w:rsidP="00F626C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</w:rPr>
        <w:t>Il Comune di Elmas (9.521 abitanti) nella città metropolitana di Cagliari ha una giunta composta dalla sindaca Maria Laura Orrù, 4 assessore ed un vicesindaco, unico uomo.</w:t>
      </w:r>
    </w:p>
    <w:p w14:paraId="3C6EF89D" w14:textId="77777777" w:rsidR="00877A6A" w:rsidRDefault="00877A6A" w:rsidP="00F626C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Bookman Old Style" w:hAnsi="Bookman Old Style"/>
        </w:rPr>
      </w:pPr>
      <w:r w:rsidRPr="00256942">
        <w:rPr>
          <w:rFonts w:ascii="Bookman Old Style" w:hAnsi="Bookman Old Style"/>
        </w:rPr>
        <w:t>Il Comune di Rosazza (provincia di Biella, 97 abitanti) ha un consiglio comunale composto da sole donne.</w:t>
      </w:r>
    </w:p>
    <w:p w14:paraId="7709D26D" w14:textId="06BB2761" w:rsidR="00F1349B" w:rsidRDefault="00D90A01" w:rsidP="00F626C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157AE3">
        <w:rPr>
          <w:rFonts w:ascii="Bookman Old Style" w:hAnsi="Bookman Old Style"/>
        </w:rPr>
        <w:t>l Comune di Bologna è il grande Comune con il numero maggiori di donne tra i propri dipen</w:t>
      </w:r>
      <w:r>
        <w:rPr>
          <w:rFonts w:ascii="Bookman Old Style" w:hAnsi="Bookman Old Style"/>
        </w:rPr>
        <w:t>denti (</w:t>
      </w:r>
      <w:r w:rsidR="00596D56">
        <w:rPr>
          <w:rFonts w:ascii="Bookman Old Style" w:hAnsi="Bookman Old Style"/>
        </w:rPr>
        <w:t>75,2%</w:t>
      </w:r>
      <w:r>
        <w:rPr>
          <w:rFonts w:ascii="Bookman Old Style" w:hAnsi="Bookman Old Style"/>
        </w:rPr>
        <w:t>)</w:t>
      </w:r>
      <w:r w:rsidR="00B208F6">
        <w:rPr>
          <w:rFonts w:ascii="Bookman Old Style" w:hAnsi="Bookman Old Style"/>
        </w:rPr>
        <w:t>.</w:t>
      </w:r>
    </w:p>
    <w:p w14:paraId="63546302" w14:textId="54E26910" w:rsidR="0088420C" w:rsidRDefault="0088420C" w:rsidP="00F626C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 Comune di Catania è il grande Comune con il numero minore di donne tra i propri dipendenti (</w:t>
      </w:r>
      <w:r w:rsidR="00AD076D">
        <w:rPr>
          <w:rFonts w:ascii="Bookman Old Style" w:hAnsi="Bookman Old Style"/>
        </w:rPr>
        <w:t>44</w:t>
      </w:r>
      <w:r>
        <w:rPr>
          <w:rFonts w:ascii="Bookman Old Style" w:hAnsi="Bookman Old Style"/>
        </w:rPr>
        <w:t>,2%)</w:t>
      </w:r>
      <w:r w:rsidR="00B208F6">
        <w:rPr>
          <w:rFonts w:ascii="Bookman Old Style" w:hAnsi="Bookman Old Style"/>
        </w:rPr>
        <w:t>.</w:t>
      </w:r>
    </w:p>
    <w:p w14:paraId="14331605" w14:textId="1D8CD280" w:rsidR="00D90A01" w:rsidRDefault="00613F9B" w:rsidP="00F626C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 Comune di Sestri Levante </w:t>
      </w:r>
      <w:r w:rsidR="00776573">
        <w:rPr>
          <w:rFonts w:ascii="Bookman Old Style" w:hAnsi="Bookman Old Style"/>
        </w:rPr>
        <w:t xml:space="preserve">(città metropolitana di Genova) </w:t>
      </w:r>
      <w:r w:rsidR="00C509D9">
        <w:rPr>
          <w:rFonts w:ascii="Bookman Old Style" w:hAnsi="Bookman Old Style"/>
        </w:rPr>
        <w:t xml:space="preserve">ha </w:t>
      </w:r>
      <w:r w:rsidR="0041567D">
        <w:rPr>
          <w:rFonts w:ascii="Bookman Old Style" w:hAnsi="Bookman Old Style"/>
        </w:rPr>
        <w:t>solo</w:t>
      </w:r>
      <w:r w:rsidR="008A3CD9">
        <w:rPr>
          <w:rFonts w:ascii="Bookman Old Style" w:hAnsi="Bookman Old Style"/>
        </w:rPr>
        <w:t xml:space="preserve"> dirigenti </w:t>
      </w:r>
      <w:r w:rsidR="0041567D">
        <w:rPr>
          <w:rFonts w:ascii="Bookman Old Style" w:hAnsi="Bookman Old Style"/>
        </w:rPr>
        <w:t xml:space="preserve">donne (quattro) </w:t>
      </w:r>
      <w:r w:rsidR="00E04059">
        <w:rPr>
          <w:rFonts w:ascii="Bookman Old Style" w:hAnsi="Bookman Old Style"/>
        </w:rPr>
        <w:t>ed anche il Segretario comunale è una donna.</w:t>
      </w:r>
    </w:p>
    <w:p w14:paraId="084477FB" w14:textId="5CC34E23" w:rsidR="00877A6A" w:rsidRDefault="00877A6A" w:rsidP="00877A6A">
      <w:pPr>
        <w:rPr>
          <w:rFonts w:ascii="Bookman Old Style" w:hAnsi="Bookman Old Style"/>
        </w:rPr>
      </w:pPr>
    </w:p>
    <w:p w14:paraId="289BE248" w14:textId="77777777" w:rsidR="0052586F" w:rsidRPr="00256942" w:rsidRDefault="0052586F">
      <w:pPr>
        <w:rPr>
          <w:rFonts w:ascii="Bookman Old Style" w:hAnsi="Bookman Old Style"/>
        </w:rPr>
      </w:pPr>
    </w:p>
    <w:sectPr w:rsidR="0052586F" w:rsidRPr="00256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BF9E7" w14:textId="77777777" w:rsidR="00437570" w:rsidRDefault="00437570" w:rsidP="00DC2721">
      <w:pPr>
        <w:spacing w:after="0" w:line="240" w:lineRule="auto"/>
      </w:pPr>
      <w:r>
        <w:separator/>
      </w:r>
    </w:p>
  </w:endnote>
  <w:endnote w:type="continuationSeparator" w:id="0">
    <w:p w14:paraId="3166DD3F" w14:textId="77777777" w:rsidR="00437570" w:rsidRDefault="00437570" w:rsidP="00DC2721">
      <w:pPr>
        <w:spacing w:after="0" w:line="240" w:lineRule="auto"/>
      </w:pPr>
      <w:r>
        <w:continuationSeparator/>
      </w:r>
    </w:p>
  </w:endnote>
  <w:endnote w:type="continuationNotice" w:id="1">
    <w:p w14:paraId="6012EDC4" w14:textId="77777777" w:rsidR="00437570" w:rsidRDefault="004375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Italic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734DE" w14:textId="77777777" w:rsidR="00437570" w:rsidRDefault="00437570" w:rsidP="00DC2721">
      <w:pPr>
        <w:spacing w:after="0" w:line="240" w:lineRule="auto"/>
      </w:pPr>
      <w:r>
        <w:separator/>
      </w:r>
    </w:p>
  </w:footnote>
  <w:footnote w:type="continuationSeparator" w:id="0">
    <w:p w14:paraId="745105AC" w14:textId="77777777" w:rsidR="00437570" w:rsidRDefault="00437570" w:rsidP="00DC2721">
      <w:pPr>
        <w:spacing w:after="0" w:line="240" w:lineRule="auto"/>
      </w:pPr>
      <w:r>
        <w:continuationSeparator/>
      </w:r>
    </w:p>
  </w:footnote>
  <w:footnote w:type="continuationNotice" w:id="1">
    <w:p w14:paraId="18D24DFB" w14:textId="77777777" w:rsidR="00437570" w:rsidRDefault="004375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5DAA"/>
    <w:multiLevelType w:val="hybridMultilevel"/>
    <w:tmpl w:val="0CD47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2A51"/>
    <w:multiLevelType w:val="hybridMultilevel"/>
    <w:tmpl w:val="89AC0F2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F40B2"/>
    <w:multiLevelType w:val="hybridMultilevel"/>
    <w:tmpl w:val="62221F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973F4"/>
    <w:multiLevelType w:val="hybridMultilevel"/>
    <w:tmpl w:val="797CF978"/>
    <w:lvl w:ilvl="0" w:tplc="0BF8A6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205B2"/>
    <w:multiLevelType w:val="hybridMultilevel"/>
    <w:tmpl w:val="49D4D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07682"/>
    <w:multiLevelType w:val="hybridMultilevel"/>
    <w:tmpl w:val="A4BC443C"/>
    <w:lvl w:ilvl="0" w:tplc="ABC29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A0C6F"/>
    <w:multiLevelType w:val="hybridMultilevel"/>
    <w:tmpl w:val="9C5E60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74CD4"/>
    <w:multiLevelType w:val="hybridMultilevel"/>
    <w:tmpl w:val="32B49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E6BD4"/>
    <w:multiLevelType w:val="multilevel"/>
    <w:tmpl w:val="FB48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1C4637"/>
    <w:multiLevelType w:val="hybridMultilevel"/>
    <w:tmpl w:val="E2F46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F6F06"/>
    <w:multiLevelType w:val="multilevel"/>
    <w:tmpl w:val="2E8E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B0416"/>
    <w:multiLevelType w:val="hybridMultilevel"/>
    <w:tmpl w:val="CA4EB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E5B75"/>
    <w:multiLevelType w:val="hybridMultilevel"/>
    <w:tmpl w:val="1062DFDE"/>
    <w:lvl w:ilvl="0" w:tplc="38CC684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FE43003"/>
    <w:multiLevelType w:val="hybridMultilevel"/>
    <w:tmpl w:val="F7CC01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50924">
    <w:abstractNumId w:val="4"/>
  </w:num>
  <w:num w:numId="2" w16cid:durableId="392697847">
    <w:abstractNumId w:val="0"/>
  </w:num>
  <w:num w:numId="3" w16cid:durableId="751466086">
    <w:abstractNumId w:val="13"/>
  </w:num>
  <w:num w:numId="4" w16cid:durableId="14380819">
    <w:abstractNumId w:val="3"/>
  </w:num>
  <w:num w:numId="5" w16cid:durableId="675228180">
    <w:abstractNumId w:val="5"/>
  </w:num>
  <w:num w:numId="6" w16cid:durableId="1778677943">
    <w:abstractNumId w:val="2"/>
  </w:num>
  <w:num w:numId="7" w16cid:durableId="1845438703">
    <w:abstractNumId w:val="11"/>
  </w:num>
  <w:num w:numId="8" w16cid:durableId="1254583777">
    <w:abstractNumId w:val="7"/>
  </w:num>
  <w:num w:numId="9" w16cid:durableId="1477599903">
    <w:abstractNumId w:val="9"/>
  </w:num>
  <w:num w:numId="10" w16cid:durableId="1989750547">
    <w:abstractNumId w:val="12"/>
  </w:num>
  <w:num w:numId="11" w16cid:durableId="1923759586">
    <w:abstractNumId w:val="6"/>
  </w:num>
  <w:num w:numId="12" w16cid:durableId="1341080982">
    <w:abstractNumId w:val="1"/>
  </w:num>
  <w:num w:numId="13" w16cid:durableId="802890454">
    <w:abstractNumId w:val="8"/>
  </w:num>
  <w:num w:numId="14" w16cid:durableId="1026714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82"/>
    <w:rsid w:val="00010A3B"/>
    <w:rsid w:val="00023149"/>
    <w:rsid w:val="0004734E"/>
    <w:rsid w:val="00050F61"/>
    <w:rsid w:val="00075DE2"/>
    <w:rsid w:val="00092491"/>
    <w:rsid w:val="000B2134"/>
    <w:rsid w:val="000B52D8"/>
    <w:rsid w:val="000C2976"/>
    <w:rsid w:val="000F1776"/>
    <w:rsid w:val="000F4B8B"/>
    <w:rsid w:val="001017C6"/>
    <w:rsid w:val="001029F7"/>
    <w:rsid w:val="0010722A"/>
    <w:rsid w:val="00120220"/>
    <w:rsid w:val="00124C88"/>
    <w:rsid w:val="00127013"/>
    <w:rsid w:val="00136ED8"/>
    <w:rsid w:val="001412BF"/>
    <w:rsid w:val="00147998"/>
    <w:rsid w:val="001516ED"/>
    <w:rsid w:val="00157AE3"/>
    <w:rsid w:val="00176224"/>
    <w:rsid w:val="00177E4C"/>
    <w:rsid w:val="001807C0"/>
    <w:rsid w:val="001B7330"/>
    <w:rsid w:val="001C7021"/>
    <w:rsid w:val="001E62A1"/>
    <w:rsid w:val="001F175C"/>
    <w:rsid w:val="001F1813"/>
    <w:rsid w:val="001F1908"/>
    <w:rsid w:val="00206059"/>
    <w:rsid w:val="00214917"/>
    <w:rsid w:val="00240829"/>
    <w:rsid w:val="002409B5"/>
    <w:rsid w:val="00241181"/>
    <w:rsid w:val="002424EA"/>
    <w:rsid w:val="00243DFD"/>
    <w:rsid w:val="0025379E"/>
    <w:rsid w:val="00256942"/>
    <w:rsid w:val="00266CAD"/>
    <w:rsid w:val="0027382B"/>
    <w:rsid w:val="002742C4"/>
    <w:rsid w:val="002762DD"/>
    <w:rsid w:val="00277A89"/>
    <w:rsid w:val="00280824"/>
    <w:rsid w:val="00283813"/>
    <w:rsid w:val="0029277A"/>
    <w:rsid w:val="002C3E85"/>
    <w:rsid w:val="002D39E2"/>
    <w:rsid w:val="002E2099"/>
    <w:rsid w:val="002E506F"/>
    <w:rsid w:val="002F0EC8"/>
    <w:rsid w:val="002F3EDC"/>
    <w:rsid w:val="00300F1F"/>
    <w:rsid w:val="00317DD3"/>
    <w:rsid w:val="00321331"/>
    <w:rsid w:val="0032345D"/>
    <w:rsid w:val="00341408"/>
    <w:rsid w:val="00356E2C"/>
    <w:rsid w:val="003629EF"/>
    <w:rsid w:val="0036471D"/>
    <w:rsid w:val="003807A7"/>
    <w:rsid w:val="003848F9"/>
    <w:rsid w:val="00385894"/>
    <w:rsid w:val="003A4B1C"/>
    <w:rsid w:val="003B3969"/>
    <w:rsid w:val="003B6A34"/>
    <w:rsid w:val="003C461D"/>
    <w:rsid w:val="003D19A7"/>
    <w:rsid w:val="00411D53"/>
    <w:rsid w:val="0041567D"/>
    <w:rsid w:val="00437570"/>
    <w:rsid w:val="00445210"/>
    <w:rsid w:val="0044688C"/>
    <w:rsid w:val="004513B0"/>
    <w:rsid w:val="0046314D"/>
    <w:rsid w:val="00475EAF"/>
    <w:rsid w:val="004C3A15"/>
    <w:rsid w:val="004C3E3B"/>
    <w:rsid w:val="004C4C80"/>
    <w:rsid w:val="004D6076"/>
    <w:rsid w:val="004E1227"/>
    <w:rsid w:val="004F59B0"/>
    <w:rsid w:val="00500F4B"/>
    <w:rsid w:val="005034B5"/>
    <w:rsid w:val="005043C0"/>
    <w:rsid w:val="00506468"/>
    <w:rsid w:val="00523F94"/>
    <w:rsid w:val="00524539"/>
    <w:rsid w:val="0052586F"/>
    <w:rsid w:val="0052781A"/>
    <w:rsid w:val="00541E76"/>
    <w:rsid w:val="00542A99"/>
    <w:rsid w:val="00543A15"/>
    <w:rsid w:val="005448EA"/>
    <w:rsid w:val="005611A1"/>
    <w:rsid w:val="00575626"/>
    <w:rsid w:val="005757EF"/>
    <w:rsid w:val="005765FC"/>
    <w:rsid w:val="00577D38"/>
    <w:rsid w:val="00581C1D"/>
    <w:rsid w:val="00582F45"/>
    <w:rsid w:val="00596D56"/>
    <w:rsid w:val="00597B0F"/>
    <w:rsid w:val="005E2738"/>
    <w:rsid w:val="005E4419"/>
    <w:rsid w:val="005F0EF4"/>
    <w:rsid w:val="00604013"/>
    <w:rsid w:val="00605B53"/>
    <w:rsid w:val="00606DC2"/>
    <w:rsid w:val="00607F21"/>
    <w:rsid w:val="00613F9B"/>
    <w:rsid w:val="006163A4"/>
    <w:rsid w:val="0061649F"/>
    <w:rsid w:val="00620B6A"/>
    <w:rsid w:val="00621654"/>
    <w:rsid w:val="00623DE7"/>
    <w:rsid w:val="00624751"/>
    <w:rsid w:val="00625F4D"/>
    <w:rsid w:val="00637565"/>
    <w:rsid w:val="00637ABF"/>
    <w:rsid w:val="00641B31"/>
    <w:rsid w:val="00645E26"/>
    <w:rsid w:val="00674718"/>
    <w:rsid w:val="006750BF"/>
    <w:rsid w:val="00690155"/>
    <w:rsid w:val="00690E38"/>
    <w:rsid w:val="006924A6"/>
    <w:rsid w:val="006A15BA"/>
    <w:rsid w:val="006A752D"/>
    <w:rsid w:val="006E058A"/>
    <w:rsid w:val="006E39FF"/>
    <w:rsid w:val="006F059D"/>
    <w:rsid w:val="006F2716"/>
    <w:rsid w:val="00702045"/>
    <w:rsid w:val="00702C8E"/>
    <w:rsid w:val="00704675"/>
    <w:rsid w:val="007224AC"/>
    <w:rsid w:val="0072319D"/>
    <w:rsid w:val="0073516B"/>
    <w:rsid w:val="007360B4"/>
    <w:rsid w:val="007402B3"/>
    <w:rsid w:val="007532F0"/>
    <w:rsid w:val="00753F6E"/>
    <w:rsid w:val="00754519"/>
    <w:rsid w:val="00773C42"/>
    <w:rsid w:val="00776573"/>
    <w:rsid w:val="0077716A"/>
    <w:rsid w:val="007778C0"/>
    <w:rsid w:val="00790BC0"/>
    <w:rsid w:val="007B4DA6"/>
    <w:rsid w:val="007B5CFF"/>
    <w:rsid w:val="007C2187"/>
    <w:rsid w:val="007F464E"/>
    <w:rsid w:val="007F48A8"/>
    <w:rsid w:val="008111FC"/>
    <w:rsid w:val="00811BED"/>
    <w:rsid w:val="00815BE0"/>
    <w:rsid w:val="00835529"/>
    <w:rsid w:val="00837A42"/>
    <w:rsid w:val="00840246"/>
    <w:rsid w:val="00852ED5"/>
    <w:rsid w:val="00853075"/>
    <w:rsid w:val="00860A30"/>
    <w:rsid w:val="00871044"/>
    <w:rsid w:val="00877A6A"/>
    <w:rsid w:val="0088420C"/>
    <w:rsid w:val="0088476A"/>
    <w:rsid w:val="008A1219"/>
    <w:rsid w:val="008A3CD9"/>
    <w:rsid w:val="008B2DB3"/>
    <w:rsid w:val="008C2AB3"/>
    <w:rsid w:val="008C4A36"/>
    <w:rsid w:val="008C4E8D"/>
    <w:rsid w:val="008E045E"/>
    <w:rsid w:val="008E669B"/>
    <w:rsid w:val="008F42D6"/>
    <w:rsid w:val="00920806"/>
    <w:rsid w:val="009333A7"/>
    <w:rsid w:val="00934E85"/>
    <w:rsid w:val="00943BD4"/>
    <w:rsid w:val="00950C4D"/>
    <w:rsid w:val="00961411"/>
    <w:rsid w:val="00970AE2"/>
    <w:rsid w:val="00972507"/>
    <w:rsid w:val="00973EF2"/>
    <w:rsid w:val="009760F4"/>
    <w:rsid w:val="0098033F"/>
    <w:rsid w:val="0099570B"/>
    <w:rsid w:val="009B6E52"/>
    <w:rsid w:val="009C2CB7"/>
    <w:rsid w:val="009D5376"/>
    <w:rsid w:val="009E0809"/>
    <w:rsid w:val="009F3505"/>
    <w:rsid w:val="009F3F86"/>
    <w:rsid w:val="00A014BC"/>
    <w:rsid w:val="00A01F3F"/>
    <w:rsid w:val="00A0643A"/>
    <w:rsid w:val="00A51350"/>
    <w:rsid w:val="00A6756D"/>
    <w:rsid w:val="00A777EB"/>
    <w:rsid w:val="00A84A50"/>
    <w:rsid w:val="00AA1117"/>
    <w:rsid w:val="00AA117D"/>
    <w:rsid w:val="00AA1946"/>
    <w:rsid w:val="00AA376A"/>
    <w:rsid w:val="00AA4CCC"/>
    <w:rsid w:val="00AA7BCF"/>
    <w:rsid w:val="00AB23BF"/>
    <w:rsid w:val="00AC4AA5"/>
    <w:rsid w:val="00AC72D7"/>
    <w:rsid w:val="00AD076D"/>
    <w:rsid w:val="00AE1BB3"/>
    <w:rsid w:val="00AE3230"/>
    <w:rsid w:val="00AE793E"/>
    <w:rsid w:val="00AF127A"/>
    <w:rsid w:val="00B02E55"/>
    <w:rsid w:val="00B1120D"/>
    <w:rsid w:val="00B12664"/>
    <w:rsid w:val="00B176AF"/>
    <w:rsid w:val="00B208F6"/>
    <w:rsid w:val="00B320EF"/>
    <w:rsid w:val="00B42743"/>
    <w:rsid w:val="00B45082"/>
    <w:rsid w:val="00B67833"/>
    <w:rsid w:val="00B72A90"/>
    <w:rsid w:val="00B96A7D"/>
    <w:rsid w:val="00BB19D8"/>
    <w:rsid w:val="00BB1C2A"/>
    <w:rsid w:val="00BB2CA9"/>
    <w:rsid w:val="00BB6B2A"/>
    <w:rsid w:val="00BF2DF8"/>
    <w:rsid w:val="00BF6804"/>
    <w:rsid w:val="00C17D08"/>
    <w:rsid w:val="00C30895"/>
    <w:rsid w:val="00C32197"/>
    <w:rsid w:val="00C40C72"/>
    <w:rsid w:val="00C40F83"/>
    <w:rsid w:val="00C4459B"/>
    <w:rsid w:val="00C476EB"/>
    <w:rsid w:val="00C509D9"/>
    <w:rsid w:val="00C5228B"/>
    <w:rsid w:val="00C576EA"/>
    <w:rsid w:val="00C700CB"/>
    <w:rsid w:val="00C95C13"/>
    <w:rsid w:val="00C972DC"/>
    <w:rsid w:val="00CA1FB9"/>
    <w:rsid w:val="00CA4474"/>
    <w:rsid w:val="00CB0679"/>
    <w:rsid w:val="00CB5C43"/>
    <w:rsid w:val="00CC3304"/>
    <w:rsid w:val="00CD79F6"/>
    <w:rsid w:val="00CE2ECE"/>
    <w:rsid w:val="00D0149E"/>
    <w:rsid w:val="00D23D00"/>
    <w:rsid w:val="00D25033"/>
    <w:rsid w:val="00D346FF"/>
    <w:rsid w:val="00D4413B"/>
    <w:rsid w:val="00D442B7"/>
    <w:rsid w:val="00D46E3D"/>
    <w:rsid w:val="00D62DA1"/>
    <w:rsid w:val="00D665DF"/>
    <w:rsid w:val="00D820BE"/>
    <w:rsid w:val="00D84CEF"/>
    <w:rsid w:val="00D90A01"/>
    <w:rsid w:val="00D90FAA"/>
    <w:rsid w:val="00D929A2"/>
    <w:rsid w:val="00DA116F"/>
    <w:rsid w:val="00DB6C31"/>
    <w:rsid w:val="00DC2721"/>
    <w:rsid w:val="00DC63DC"/>
    <w:rsid w:val="00DC7A71"/>
    <w:rsid w:val="00DD41F9"/>
    <w:rsid w:val="00DF25D6"/>
    <w:rsid w:val="00DF6366"/>
    <w:rsid w:val="00DF71F5"/>
    <w:rsid w:val="00E04059"/>
    <w:rsid w:val="00E04C47"/>
    <w:rsid w:val="00E052AC"/>
    <w:rsid w:val="00E128B9"/>
    <w:rsid w:val="00E1657A"/>
    <w:rsid w:val="00E24D30"/>
    <w:rsid w:val="00E26546"/>
    <w:rsid w:val="00E562CB"/>
    <w:rsid w:val="00E60692"/>
    <w:rsid w:val="00E66E6B"/>
    <w:rsid w:val="00E70ED6"/>
    <w:rsid w:val="00E72E5E"/>
    <w:rsid w:val="00E745F8"/>
    <w:rsid w:val="00E958E8"/>
    <w:rsid w:val="00EB7493"/>
    <w:rsid w:val="00EF58F1"/>
    <w:rsid w:val="00F013C6"/>
    <w:rsid w:val="00F0426D"/>
    <w:rsid w:val="00F05C02"/>
    <w:rsid w:val="00F073DB"/>
    <w:rsid w:val="00F1349B"/>
    <w:rsid w:val="00F17F3A"/>
    <w:rsid w:val="00F411E3"/>
    <w:rsid w:val="00F41FF9"/>
    <w:rsid w:val="00F4653E"/>
    <w:rsid w:val="00F626C2"/>
    <w:rsid w:val="00F6513B"/>
    <w:rsid w:val="00F70A7A"/>
    <w:rsid w:val="00F74109"/>
    <w:rsid w:val="00F7560F"/>
    <w:rsid w:val="00F864B8"/>
    <w:rsid w:val="00F8684F"/>
    <w:rsid w:val="00F86E6F"/>
    <w:rsid w:val="00F90CF1"/>
    <w:rsid w:val="00FA1A8F"/>
    <w:rsid w:val="00FA5E7B"/>
    <w:rsid w:val="00FB49F3"/>
    <w:rsid w:val="00FB50E4"/>
    <w:rsid w:val="00FC6637"/>
    <w:rsid w:val="00F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1A10"/>
  <w15:chartTrackingRefBased/>
  <w15:docId w15:val="{CC4C329F-C918-4221-AB1D-4B4CC8FD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5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45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45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5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5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5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5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5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5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5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45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45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50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50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50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50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50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50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5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5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5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5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5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50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50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450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5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50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5082"/>
    <w:rPr>
      <w:b/>
      <w:bCs/>
      <w:smallCaps/>
      <w:color w:val="0F4761" w:themeColor="accent1" w:themeShade="BF"/>
      <w:spacing w:val="5"/>
    </w:rPr>
  </w:style>
  <w:style w:type="paragraph" w:styleId="Didascalia">
    <w:name w:val="caption"/>
    <w:basedOn w:val="Normale"/>
    <w:next w:val="Normale"/>
    <w:uiPriority w:val="35"/>
    <w:unhideWhenUsed/>
    <w:qFormat/>
    <w:rsid w:val="00B45082"/>
    <w:pPr>
      <w:keepNext/>
      <w:autoSpaceDE w:val="0"/>
      <w:autoSpaceDN w:val="0"/>
      <w:adjustRightInd w:val="0"/>
      <w:spacing w:before="480" w:after="0" w:line="240" w:lineRule="auto"/>
      <w:jc w:val="both"/>
    </w:pPr>
    <w:rPr>
      <w:rFonts w:asciiTheme="majorHAnsi" w:hAnsiTheme="majorHAnsi" w:cs="Georgia"/>
      <w:b/>
      <w:bCs/>
      <w:color w:val="156082" w:themeColor="accent1"/>
      <w:kern w:val="0"/>
      <w:sz w:val="26"/>
      <w:szCs w:val="26"/>
      <w14:ligatures w14:val="none"/>
    </w:rPr>
  </w:style>
  <w:style w:type="paragraph" w:customStyle="1" w:styleId="Fonte">
    <w:name w:val="Fonte"/>
    <w:basedOn w:val="Normale"/>
    <w:link w:val="FonteCarattere"/>
    <w:qFormat/>
    <w:rsid w:val="00B45082"/>
    <w:pPr>
      <w:keepNext/>
      <w:keepLines/>
      <w:autoSpaceDE w:val="0"/>
      <w:autoSpaceDN w:val="0"/>
      <w:adjustRightInd w:val="0"/>
      <w:spacing w:after="600" w:line="240" w:lineRule="auto"/>
      <w:jc w:val="both"/>
    </w:pPr>
    <w:rPr>
      <w:rFonts w:asciiTheme="majorHAnsi" w:hAnsiTheme="majorHAnsi" w:cs="Georgia,Italic"/>
      <w:i/>
      <w:iCs/>
      <w:color w:val="808080" w:themeColor="background1" w:themeShade="80"/>
      <w:kern w:val="0"/>
      <w:sz w:val="24"/>
      <w:szCs w:val="18"/>
      <w14:ligatures w14:val="none"/>
    </w:rPr>
  </w:style>
  <w:style w:type="character" w:customStyle="1" w:styleId="FonteCarattere">
    <w:name w:val="Fonte Carattere"/>
    <w:basedOn w:val="Carpredefinitoparagrafo"/>
    <w:link w:val="Fonte"/>
    <w:rsid w:val="00B45082"/>
    <w:rPr>
      <w:rFonts w:asciiTheme="majorHAnsi" w:hAnsiTheme="majorHAnsi" w:cs="Georgia,Italic"/>
      <w:i/>
      <w:iCs/>
      <w:color w:val="808080" w:themeColor="background1" w:themeShade="80"/>
      <w:kern w:val="0"/>
      <w:sz w:val="24"/>
      <w:szCs w:val="18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C2721"/>
    <w:pPr>
      <w:autoSpaceDE w:val="0"/>
      <w:autoSpaceDN w:val="0"/>
      <w:adjustRightInd w:val="0"/>
      <w:spacing w:before="240" w:after="0" w:line="240" w:lineRule="auto"/>
      <w:jc w:val="both"/>
    </w:pPr>
    <w:rPr>
      <w:rFonts w:ascii="Century Gothic" w:hAnsi="Century Gothic" w:cs="Georgia"/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C2721"/>
    <w:rPr>
      <w:rFonts w:ascii="Century Gothic" w:hAnsi="Century Gothic" w:cs="Georgia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C272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01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3C6"/>
  </w:style>
  <w:style w:type="paragraph" w:styleId="Pidipagina">
    <w:name w:val="footer"/>
    <w:basedOn w:val="Normale"/>
    <w:link w:val="PidipaginaCarattere"/>
    <w:uiPriority w:val="99"/>
    <w:unhideWhenUsed/>
    <w:rsid w:val="00F01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3C6"/>
  </w:style>
  <w:style w:type="character" w:customStyle="1" w:styleId="apple-converted-space">
    <w:name w:val="apple-converted-space"/>
    <w:basedOn w:val="Carpredefinitoparagrafo"/>
    <w:rsid w:val="006A752D"/>
  </w:style>
  <w:style w:type="paragraph" w:styleId="NormaleWeb">
    <w:name w:val="Normal (Web)"/>
    <w:basedOn w:val="Normale"/>
    <w:link w:val="NormaleWebCarattere"/>
    <w:uiPriority w:val="99"/>
    <w:unhideWhenUsed/>
    <w:rsid w:val="006A752D"/>
    <w:pPr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eWebCarattere">
    <w:name w:val="Normale (Web) Carattere"/>
    <w:basedOn w:val="Carpredefinitoparagrafo"/>
    <w:link w:val="NormaleWeb"/>
    <w:uiPriority w:val="99"/>
    <w:rsid w:val="006A752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A752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A752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52D"/>
    <w:pPr>
      <w:autoSpaceDE w:val="0"/>
      <w:autoSpaceDN w:val="0"/>
      <w:adjustRightInd w:val="0"/>
      <w:spacing w:before="240" w:after="0" w:line="240" w:lineRule="auto"/>
      <w:jc w:val="both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52D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fonte0">
    <w:name w:val="fonte"/>
    <w:basedOn w:val="NormaleWeb"/>
    <w:link w:val="fonteCarattere0"/>
    <w:qFormat/>
    <w:rsid w:val="006A752D"/>
    <w:pPr>
      <w:shd w:val="clear" w:color="auto" w:fill="FFFFFF"/>
      <w:spacing w:before="0" w:beforeAutospacing="0" w:after="0" w:afterAutospacing="0" w:line="360" w:lineRule="atLeast"/>
      <w:textAlignment w:val="baseline"/>
    </w:pPr>
    <w:rPr>
      <w:rFonts w:ascii="Helvetica" w:hAnsi="Helvetica" w:cs="Helvetica"/>
      <w:color w:val="444444"/>
      <w:sz w:val="21"/>
      <w:szCs w:val="21"/>
    </w:rPr>
  </w:style>
  <w:style w:type="character" w:customStyle="1" w:styleId="fonteCarattere0">
    <w:name w:val="fonte Carattere"/>
    <w:basedOn w:val="NormaleWebCarattere"/>
    <w:link w:val="fonte0"/>
    <w:rsid w:val="006A752D"/>
    <w:rPr>
      <w:rFonts w:ascii="Helvetica" w:eastAsia="Times New Roman" w:hAnsi="Helvetica" w:cs="Helvetica"/>
      <w:color w:val="444444"/>
      <w:kern w:val="0"/>
      <w:sz w:val="21"/>
      <w:szCs w:val="21"/>
      <w:shd w:val="clear" w:color="auto" w:fill="FFFFFF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752D"/>
    <w:rPr>
      <w:color w:val="96607D" w:themeColor="followedHyperlink"/>
      <w:u w:val="single"/>
    </w:rPr>
  </w:style>
  <w:style w:type="paragraph" w:customStyle="1" w:styleId="TioloTabella">
    <w:name w:val="Tiolo Tabella"/>
    <w:basedOn w:val="Normale"/>
    <w:link w:val="TioloTabellaCarattere"/>
    <w:qFormat/>
    <w:rsid w:val="006A752D"/>
    <w:pPr>
      <w:keepNext/>
      <w:keepLines/>
      <w:autoSpaceDE w:val="0"/>
      <w:autoSpaceDN w:val="0"/>
      <w:adjustRightInd w:val="0"/>
      <w:spacing w:before="840" w:after="0" w:line="240" w:lineRule="auto"/>
      <w:jc w:val="both"/>
    </w:pPr>
    <w:rPr>
      <w:rFonts w:ascii="Century Gothic" w:hAnsi="Century Gothic" w:cs="Georgia"/>
      <w:b/>
      <w:i/>
      <w:color w:val="0F4761" w:themeColor="accent1" w:themeShade="BF"/>
      <w:kern w:val="0"/>
      <w:sz w:val="24"/>
      <w:szCs w:val="21"/>
      <w14:ligatures w14:val="none"/>
    </w:rPr>
  </w:style>
  <w:style w:type="character" w:customStyle="1" w:styleId="TioloTabellaCarattere">
    <w:name w:val="Tiolo Tabella Carattere"/>
    <w:basedOn w:val="Carpredefinitoparagrafo"/>
    <w:link w:val="TioloTabella"/>
    <w:rsid w:val="006A752D"/>
    <w:rPr>
      <w:rFonts w:ascii="Century Gothic" w:hAnsi="Century Gothic" w:cs="Georgia"/>
      <w:b/>
      <w:i/>
      <w:color w:val="0F4761" w:themeColor="accent1" w:themeShade="BF"/>
      <w:kern w:val="0"/>
      <w:sz w:val="24"/>
      <w:szCs w:val="21"/>
      <w14:ligatures w14:val="none"/>
    </w:rPr>
  </w:style>
  <w:style w:type="paragraph" w:customStyle="1" w:styleId="NumeroPagina">
    <w:name w:val="Numero Pagina"/>
    <w:basedOn w:val="Pidipagina"/>
    <w:link w:val="NumeroPaginaCarattere"/>
    <w:qFormat/>
    <w:rsid w:val="006A752D"/>
    <w:pPr>
      <w:autoSpaceDE w:val="0"/>
      <w:autoSpaceDN w:val="0"/>
      <w:adjustRightInd w:val="0"/>
      <w:jc w:val="center"/>
    </w:pPr>
    <w:rPr>
      <w:rFonts w:ascii="Century Gothic" w:hAnsi="Century Gothic" w:cs="Georgia"/>
      <w:kern w:val="0"/>
      <w:sz w:val="24"/>
      <w14:ligatures w14:val="none"/>
    </w:rPr>
  </w:style>
  <w:style w:type="paragraph" w:styleId="Nessunaspaziatura">
    <w:name w:val="No Spacing"/>
    <w:link w:val="NessunaspaziaturaCarattere"/>
    <w:uiPriority w:val="1"/>
    <w:qFormat/>
    <w:rsid w:val="006A752D"/>
    <w:pPr>
      <w:autoSpaceDE w:val="0"/>
      <w:autoSpaceDN w:val="0"/>
      <w:adjustRightInd w:val="0"/>
      <w:spacing w:after="120" w:line="240" w:lineRule="auto"/>
      <w:jc w:val="both"/>
    </w:pPr>
    <w:rPr>
      <w:rFonts w:ascii="Century Gothic" w:hAnsi="Century Gothic" w:cs="Georgia"/>
      <w:kern w:val="0"/>
      <w:sz w:val="24"/>
      <w14:ligatures w14:val="none"/>
    </w:rPr>
  </w:style>
  <w:style w:type="character" w:customStyle="1" w:styleId="NumeroPaginaCarattere">
    <w:name w:val="Numero Pagina Carattere"/>
    <w:basedOn w:val="PidipaginaCarattere"/>
    <w:link w:val="NumeroPagina"/>
    <w:rsid w:val="006A752D"/>
    <w:rPr>
      <w:rFonts w:ascii="Century Gothic" w:hAnsi="Century Gothic" w:cs="Georgia"/>
      <w:kern w:val="0"/>
      <w:sz w:val="24"/>
      <w14:ligatures w14:val="none"/>
    </w:rPr>
  </w:style>
  <w:style w:type="paragraph" w:customStyle="1" w:styleId="tabella">
    <w:name w:val="tabella"/>
    <w:basedOn w:val="Nessunaspaziatura"/>
    <w:link w:val="tabellaCarattere"/>
    <w:qFormat/>
    <w:rsid w:val="006A752D"/>
    <w:pPr>
      <w:keepNext/>
      <w:spacing w:after="0"/>
    </w:pPr>
    <w:rPr>
      <w:b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A752D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A752D"/>
    <w:rPr>
      <w:rFonts w:ascii="Century Gothic" w:hAnsi="Century Gothic" w:cs="Georgia"/>
      <w:kern w:val="0"/>
      <w:sz w:val="24"/>
      <w14:ligatures w14:val="none"/>
    </w:rPr>
  </w:style>
  <w:style w:type="character" w:customStyle="1" w:styleId="tabellaCarattere">
    <w:name w:val="tabella Carattere"/>
    <w:basedOn w:val="NessunaspaziaturaCarattere"/>
    <w:link w:val="tabella"/>
    <w:rsid w:val="006A752D"/>
    <w:rPr>
      <w:rFonts w:ascii="Century Gothic" w:hAnsi="Century Gothic" w:cs="Georgia"/>
      <w:b/>
      <w:kern w:val="0"/>
      <w:sz w:val="24"/>
      <w:lang w:eastAsia="it-IT"/>
      <w14:ligatures w14:val="none"/>
    </w:rPr>
  </w:style>
  <w:style w:type="paragraph" w:styleId="Sommario2">
    <w:name w:val="toc 2"/>
    <w:basedOn w:val="Normale"/>
    <w:next w:val="Normale"/>
    <w:autoRedefine/>
    <w:uiPriority w:val="39"/>
    <w:unhideWhenUsed/>
    <w:rsid w:val="006A752D"/>
    <w:pPr>
      <w:autoSpaceDE w:val="0"/>
      <w:autoSpaceDN w:val="0"/>
      <w:adjustRightInd w:val="0"/>
      <w:spacing w:before="240" w:after="100" w:line="320" w:lineRule="exact"/>
      <w:ind w:left="240"/>
      <w:jc w:val="both"/>
    </w:pPr>
    <w:rPr>
      <w:rFonts w:ascii="Century Gothic" w:hAnsi="Century Gothic" w:cs="Georgia"/>
      <w:kern w:val="0"/>
      <w:sz w:val="24"/>
      <w14:ligatures w14:val="none"/>
    </w:rPr>
  </w:style>
  <w:style w:type="paragraph" w:styleId="Sommario3">
    <w:name w:val="toc 3"/>
    <w:basedOn w:val="Normale"/>
    <w:next w:val="Normale"/>
    <w:autoRedefine/>
    <w:uiPriority w:val="39"/>
    <w:unhideWhenUsed/>
    <w:rsid w:val="006A752D"/>
    <w:pPr>
      <w:autoSpaceDE w:val="0"/>
      <w:autoSpaceDN w:val="0"/>
      <w:adjustRightInd w:val="0"/>
      <w:spacing w:before="240" w:after="100" w:line="320" w:lineRule="exact"/>
      <w:ind w:left="480"/>
      <w:jc w:val="both"/>
    </w:pPr>
    <w:rPr>
      <w:rFonts w:ascii="Century Gothic" w:hAnsi="Century Gothic" w:cs="Georgi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ancionline.sharepoint.com/sites/AREAStudi/Documenti%20condivisi/Area_autonomie_locali/Banche%20dati_ufficio%20studi/8%20marzo/DB%20Amministratori/DB%20Amministrator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ancionline.sharepoint.com/sites/AREAStudi/Documenti%20condivisi/Area_autonomie_locali/Banche%20dati_ufficio%20studi/8%20marzo/Tabelle%20e%20grafici%20anno%202024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ancionline.sharepoint.com/sites/AREAStudi/Documenti%20condivisi/Area_autonomie_locali/Banche%20dati_ufficio%20studi/8%20marzo/deleghe_confront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Foglio5!$L$3</c:f>
              <c:strCache>
                <c:ptCount val="1"/>
                <c:pt idx="0">
                  <c:v>Donne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Foglio5!$H$4:$H$15</c:f>
              <c:strCache>
                <c:ptCount val="12"/>
                <c:pt idx="0">
                  <c:v>19-24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  <c:pt idx="9">
                  <c:v>65-69</c:v>
                </c:pt>
                <c:pt idx="10">
                  <c:v>70-74</c:v>
                </c:pt>
                <c:pt idx="11">
                  <c:v>75-oltre</c:v>
                </c:pt>
              </c:strCache>
            </c:strRef>
          </c:cat>
          <c:val>
            <c:numRef>
              <c:f>Foglio5!$L$4:$L$15</c:f>
              <c:numCache>
                <c:formatCode>0%</c:formatCode>
                <c:ptCount val="12"/>
                <c:pt idx="0">
                  <c:v>2.0995588475573226E-2</c:v>
                </c:pt>
                <c:pt idx="1">
                  <c:v>6.1216709329557216E-2</c:v>
                </c:pt>
                <c:pt idx="2">
                  <c:v>8.6460432438320356E-2</c:v>
                </c:pt>
                <c:pt idx="3">
                  <c:v>0.10239093731278252</c:v>
                </c:pt>
                <c:pt idx="4">
                  <c:v>0.12325036762703556</c:v>
                </c:pt>
                <c:pt idx="5">
                  <c:v>0.14865748052938293</c:v>
                </c:pt>
                <c:pt idx="6">
                  <c:v>0.15227928762049997</c:v>
                </c:pt>
                <c:pt idx="7">
                  <c:v>0.11932901258101411</c:v>
                </c:pt>
                <c:pt idx="8">
                  <c:v>8.9265290561516261E-2</c:v>
                </c:pt>
                <c:pt idx="9">
                  <c:v>5.8085071619192852E-2</c:v>
                </c:pt>
                <c:pt idx="10">
                  <c:v>2.7939654702902893E-2</c:v>
                </c:pt>
                <c:pt idx="11">
                  <c:v>1.0130167202222101E-2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9A-427D-943B-E7EC8E1A1414}"/>
            </c:ext>
          </c:extLst>
        </c:ser>
        <c:ser>
          <c:idx val="1"/>
          <c:order val="1"/>
          <c:tx>
            <c:strRef>
              <c:f>Foglio5!$M$3</c:f>
              <c:strCache>
                <c:ptCount val="1"/>
                <c:pt idx="0">
                  <c:v>Uomini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Foglio5!$H$4:$H$15</c:f>
              <c:strCache>
                <c:ptCount val="12"/>
                <c:pt idx="0">
                  <c:v>19-24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  <c:pt idx="9">
                  <c:v>65-69</c:v>
                </c:pt>
                <c:pt idx="10">
                  <c:v>70-74</c:v>
                </c:pt>
                <c:pt idx="11">
                  <c:v>75-oltre</c:v>
                </c:pt>
              </c:strCache>
            </c:strRef>
          </c:cat>
          <c:val>
            <c:numRef>
              <c:f>Foglio5!$M$4:$M$15</c:f>
              <c:numCache>
                <c:formatCode>0%</c:formatCode>
                <c:ptCount val="12"/>
                <c:pt idx="0">
                  <c:v>1.5961646926113932E-2</c:v>
                </c:pt>
                <c:pt idx="1">
                  <c:v>4.5431472081218276E-2</c:v>
                </c:pt>
                <c:pt idx="2">
                  <c:v>6.72165820642978E-2</c:v>
                </c:pt>
                <c:pt idx="3">
                  <c:v>8.5349689791314159E-2</c:v>
                </c:pt>
                <c:pt idx="4">
                  <c:v>0.10626057529610829</c:v>
                </c:pt>
                <c:pt idx="5">
                  <c:v>0.11934574168076706</c:v>
                </c:pt>
                <c:pt idx="6">
                  <c:v>0.13162718556119571</c:v>
                </c:pt>
                <c:pt idx="7">
                  <c:v>0.11869712351945855</c:v>
                </c:pt>
                <c:pt idx="8">
                  <c:v>0.11424139875916525</c:v>
                </c:pt>
                <c:pt idx="9">
                  <c:v>9.8025944726452346E-2</c:v>
                </c:pt>
                <c:pt idx="10">
                  <c:v>6.331077270163564E-2</c:v>
                </c:pt>
                <c:pt idx="11">
                  <c:v>3.4531866892272986E-2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9A-427D-943B-E7EC8E1A14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25"/>
        <c:axId val="1785246303"/>
        <c:axId val="1785253023"/>
      </c:barChart>
      <c:catAx>
        <c:axId val="17852463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85253023"/>
        <c:crosses val="autoZero"/>
        <c:auto val="1"/>
        <c:lblAlgn val="ctr"/>
        <c:lblOffset val="100"/>
        <c:noMultiLvlLbl val="0"/>
      </c:catAx>
      <c:valAx>
        <c:axId val="17852530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85246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Foglio13!$B$1</c:f>
              <c:strCache>
                <c:ptCount val="1"/>
                <c:pt idx="0">
                  <c:v>N. sindaci</c:v>
                </c:pt>
              </c:strCache>
            </c:strRef>
          </c:tx>
          <c:spPr>
            <a:ln w="57150">
              <a:solidFill>
                <a:schemeClr val="accent2">
                  <a:lumMod val="75000"/>
                </a:schemeClr>
              </a:solidFill>
            </a:ln>
            <a:effectLst>
              <a:innerShdw blurRad="63500" dist="50800" dir="2700000">
                <a:prstClr val="black">
                  <a:alpha val="50000"/>
                </a:prstClr>
              </a:inn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1.4234875444839907E-2"/>
                  <c:y val="3.2967032967032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29-42AF-846D-5E83631C4F42}"/>
                </c:ext>
              </c:extLst>
            </c:dLbl>
            <c:dLbl>
              <c:idx val="38"/>
              <c:layout>
                <c:manualLayout>
                  <c:x val="-6.6445182724252493E-3"/>
                  <c:y val="-5.0632911392405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29-42AF-846D-5E83631C4F42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/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Foglio13!$A$2:$A$40</c:f>
              <c:numCache>
                <c:formatCode>General</c:formatCode>
                <c:ptCount val="39"/>
                <c:pt idx="0">
                  <c:v>1986</c:v>
                </c:pt>
                <c:pt idx="1">
                  <c:v>1987</c:v>
                </c:pt>
                <c:pt idx="2">
                  <c:v>1988</c:v>
                </c:pt>
                <c:pt idx="3">
                  <c:v>1989</c:v>
                </c:pt>
                <c:pt idx="4">
                  <c:v>1990</c:v>
                </c:pt>
                <c:pt idx="5">
                  <c:v>1991</c:v>
                </c:pt>
                <c:pt idx="6">
                  <c:v>1992</c:v>
                </c:pt>
                <c:pt idx="7">
                  <c:v>1993</c:v>
                </c:pt>
                <c:pt idx="8">
                  <c:v>1994</c:v>
                </c:pt>
                <c:pt idx="9">
                  <c:v>1995</c:v>
                </c:pt>
                <c:pt idx="10">
                  <c:v>1996</c:v>
                </c:pt>
                <c:pt idx="11">
                  <c:v>1997</c:v>
                </c:pt>
                <c:pt idx="12">
                  <c:v>1998</c:v>
                </c:pt>
                <c:pt idx="13">
                  <c:v>1999</c:v>
                </c:pt>
                <c:pt idx="14">
                  <c:v>2000</c:v>
                </c:pt>
                <c:pt idx="15">
                  <c:v>2001</c:v>
                </c:pt>
                <c:pt idx="16">
                  <c:v>2002</c:v>
                </c:pt>
                <c:pt idx="17">
                  <c:v>2003</c:v>
                </c:pt>
                <c:pt idx="18">
                  <c:v>2004</c:v>
                </c:pt>
                <c:pt idx="19">
                  <c:v>2005</c:v>
                </c:pt>
                <c:pt idx="20">
                  <c:v>2006</c:v>
                </c:pt>
                <c:pt idx="21">
                  <c:v>2007</c:v>
                </c:pt>
                <c:pt idx="22">
                  <c:v>2008</c:v>
                </c:pt>
                <c:pt idx="23">
                  <c:v>2009</c:v>
                </c:pt>
                <c:pt idx="24">
                  <c:v>2010</c:v>
                </c:pt>
                <c:pt idx="25">
                  <c:v>2011</c:v>
                </c:pt>
                <c:pt idx="26">
                  <c:v>2012</c:v>
                </c:pt>
                <c:pt idx="27">
                  <c:v>2013</c:v>
                </c:pt>
                <c:pt idx="28">
                  <c:v>2014</c:v>
                </c:pt>
                <c:pt idx="29">
                  <c:v>2015</c:v>
                </c:pt>
                <c:pt idx="30">
                  <c:v>2016</c:v>
                </c:pt>
                <c:pt idx="31">
                  <c:v>2017</c:v>
                </c:pt>
                <c:pt idx="32">
                  <c:v>2018</c:v>
                </c:pt>
                <c:pt idx="33">
                  <c:v>2019</c:v>
                </c:pt>
                <c:pt idx="34">
                  <c:v>2020</c:v>
                </c:pt>
                <c:pt idx="35">
                  <c:v>2021</c:v>
                </c:pt>
                <c:pt idx="36">
                  <c:v>2022</c:v>
                </c:pt>
                <c:pt idx="37">
                  <c:v>2023</c:v>
                </c:pt>
                <c:pt idx="38">
                  <c:v>2024</c:v>
                </c:pt>
              </c:numCache>
            </c:numRef>
          </c:cat>
          <c:val>
            <c:numRef>
              <c:f>Foglio13!$B$2:$B$40</c:f>
              <c:numCache>
                <c:formatCode>_-* #,##0_-;\-* #,##0_-;_-* "-"??_-;_-@_-</c:formatCode>
                <c:ptCount val="39"/>
                <c:pt idx="0">
                  <c:v>145</c:v>
                </c:pt>
                <c:pt idx="1">
                  <c:v>158</c:v>
                </c:pt>
                <c:pt idx="2">
                  <c:v>215</c:v>
                </c:pt>
                <c:pt idx="3">
                  <c:v>229</c:v>
                </c:pt>
                <c:pt idx="4">
                  <c:v>258</c:v>
                </c:pt>
                <c:pt idx="5">
                  <c:v>272</c:v>
                </c:pt>
                <c:pt idx="6">
                  <c:v>291</c:v>
                </c:pt>
                <c:pt idx="7">
                  <c:v>364</c:v>
                </c:pt>
                <c:pt idx="8">
                  <c:v>382</c:v>
                </c:pt>
                <c:pt idx="9">
                  <c:v>501</c:v>
                </c:pt>
                <c:pt idx="10">
                  <c:v>505</c:v>
                </c:pt>
                <c:pt idx="11">
                  <c:v>502</c:v>
                </c:pt>
                <c:pt idx="12">
                  <c:v>498</c:v>
                </c:pt>
                <c:pt idx="13">
                  <c:v>540</c:v>
                </c:pt>
                <c:pt idx="14">
                  <c:v>529</c:v>
                </c:pt>
                <c:pt idx="15">
                  <c:v>549</c:v>
                </c:pt>
                <c:pt idx="16">
                  <c:v>574</c:v>
                </c:pt>
                <c:pt idx="17">
                  <c:v>576</c:v>
                </c:pt>
                <c:pt idx="18">
                  <c:v>749</c:v>
                </c:pt>
                <c:pt idx="19">
                  <c:v>769</c:v>
                </c:pt>
                <c:pt idx="20">
                  <c:v>771</c:v>
                </c:pt>
                <c:pt idx="21">
                  <c:v>780</c:v>
                </c:pt>
                <c:pt idx="22">
                  <c:v>786</c:v>
                </c:pt>
                <c:pt idx="23">
                  <c:v>847</c:v>
                </c:pt>
                <c:pt idx="24">
                  <c:v>867</c:v>
                </c:pt>
                <c:pt idx="25">
                  <c:v>838</c:v>
                </c:pt>
                <c:pt idx="26">
                  <c:v>860</c:v>
                </c:pt>
                <c:pt idx="27">
                  <c:v>889</c:v>
                </c:pt>
                <c:pt idx="28">
                  <c:v>1063</c:v>
                </c:pt>
                <c:pt idx="29">
                  <c:v>1066</c:v>
                </c:pt>
                <c:pt idx="30">
                  <c:v>1097</c:v>
                </c:pt>
                <c:pt idx="31">
                  <c:v>1094</c:v>
                </c:pt>
                <c:pt idx="32">
                  <c:v>1065</c:v>
                </c:pt>
                <c:pt idx="33">
                  <c:v>1117</c:v>
                </c:pt>
                <c:pt idx="34">
                  <c:v>1142</c:v>
                </c:pt>
                <c:pt idx="35">
                  <c:v>1155</c:v>
                </c:pt>
                <c:pt idx="36">
                  <c:v>1181</c:v>
                </c:pt>
                <c:pt idx="37">
                  <c:v>1192</c:v>
                </c:pt>
                <c:pt idx="38">
                  <c:v>1189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F29-42AF-846D-5E83631C4F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975744"/>
        <c:axId val="100977280"/>
      </c:lineChart>
      <c:catAx>
        <c:axId val="100975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>
                <a:latin typeface="Century Gothic" pitchFamily="34" charset="0"/>
              </a:defRPr>
            </a:pPr>
            <a:endParaRPr lang="it-IT"/>
          </a:p>
        </c:txPr>
        <c:crossAx val="100977280"/>
        <c:crosses val="autoZero"/>
        <c:auto val="1"/>
        <c:lblAlgn val="ctr"/>
        <c:lblOffset val="100"/>
        <c:noMultiLvlLbl val="0"/>
      </c:catAx>
      <c:valAx>
        <c:axId val="100977280"/>
        <c:scaling>
          <c:orientation val="minMax"/>
        </c:scaling>
        <c:delete val="0"/>
        <c:axPos val="l"/>
        <c:numFmt formatCode="_-* #,##0_-;\-* #,##0_-;_-* &quot;-&quot;??_-;_-@_-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Century Gothic" pitchFamily="34" charset="0"/>
              </a:defRPr>
            </a:pPr>
            <a:endParaRPr lang="it-IT"/>
          </a:p>
        </c:txPr>
        <c:crossAx val="100975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049655550128644"/>
          <c:y val="0.11675089139272078"/>
          <c:w val="0.574678194397229"/>
          <c:h val="0.7911643944779364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8B1-4A1F-B3AA-25A49028B0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8B1-4A1F-B3AA-25A49028B0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8B1-4A1F-B3AA-25A49028B0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8B1-4A1F-B3AA-25A49028B0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8B1-4A1F-B3AA-25A49028B0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8B1-4A1F-B3AA-25A49028B0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8B1-4A1F-B3AA-25A49028B0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8B1-4A1F-B3AA-25A49028B08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8B1-4A1F-B3AA-25A49028B08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8B1-4A1F-B3AA-25A49028B08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78B1-4A1F-B3AA-25A49028B088}"/>
              </c:ext>
            </c:extLst>
          </c:dPt>
          <c:dLbls>
            <c:dLbl>
              <c:idx val="0"/>
              <c:layout>
                <c:manualLayout>
                  <c:x val="-1.5106410998508527E-2"/>
                  <c:y val="-6.00905399244663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B1-4A1F-B3AA-25A49028B088}"/>
                </c:ext>
              </c:extLst>
            </c:dLbl>
            <c:dLbl>
              <c:idx val="1"/>
              <c:layout>
                <c:manualLayout>
                  <c:x val="3.4273732912895365E-2"/>
                  <c:y val="9.088865964968766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B1-4A1F-B3AA-25A49028B088}"/>
                </c:ext>
              </c:extLst>
            </c:dLbl>
            <c:dLbl>
              <c:idx val="2"/>
              <c:layout>
                <c:manualLayout>
                  <c:x val="-4.462584945091036E-2"/>
                  <c:y val="0.1139803483959409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8B1-4A1F-B3AA-25A49028B088}"/>
                </c:ext>
              </c:extLst>
            </c:dLbl>
            <c:dLbl>
              <c:idx val="3"/>
              <c:layout>
                <c:manualLayout>
                  <c:x val="-1.0901633899246761E-2"/>
                  <c:y val="-1.342268104939807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8B1-4A1F-B3AA-25A49028B088}"/>
                </c:ext>
              </c:extLst>
            </c:dLbl>
            <c:dLbl>
              <c:idx val="4"/>
              <c:layout>
                <c:manualLayout>
                  <c:x val="-0.10465519406340251"/>
                  <c:y val="1.68338756713608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8B1-4A1F-B3AA-25A49028B088}"/>
                </c:ext>
              </c:extLst>
            </c:dLbl>
            <c:dLbl>
              <c:idx val="5"/>
              <c:layout>
                <c:manualLayout>
                  <c:x val="-9.8685075473793127E-2"/>
                  <c:y val="1.961582472715049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039017216022147"/>
                      <c:h val="0.1310080838328762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78B1-4A1F-B3AA-25A49028B088}"/>
                </c:ext>
              </c:extLst>
            </c:dLbl>
            <c:dLbl>
              <c:idx val="6"/>
              <c:layout>
                <c:manualLayout>
                  <c:x val="0.12622103783873628"/>
                  <c:y val="2.472401908824052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8B1-4A1F-B3AA-25A49028B088}"/>
                </c:ext>
              </c:extLst>
            </c:dLbl>
            <c:dLbl>
              <c:idx val="7"/>
              <c:layout>
                <c:manualLayout>
                  <c:x val="-0.17546187209339556"/>
                  <c:y val="-1.30405731080459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8B1-4A1F-B3AA-25A49028B088}"/>
                </c:ext>
              </c:extLst>
            </c:dLbl>
            <c:dLbl>
              <c:idx val="8"/>
              <c:layout>
                <c:manualLayout>
                  <c:x val="-3.5418145866422134E-2"/>
                  <c:y val="-4.127281875639984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8B1-4A1F-B3AA-25A49028B088}"/>
                </c:ext>
              </c:extLst>
            </c:dLbl>
            <c:dLbl>
              <c:idx val="9"/>
              <c:layout>
                <c:manualLayout>
                  <c:x val="9.2841090163389928E-2"/>
                  <c:y val="-2.66568977084142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8B1-4A1F-B3AA-25A49028B088}"/>
                </c:ext>
              </c:extLst>
            </c:dLbl>
            <c:dLbl>
              <c:idx val="10"/>
              <c:layout>
                <c:manualLayout>
                  <c:x val="0.17306335929394759"/>
                  <c:y val="4.969595930720281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8B1-4A1F-B3AA-25A49028B08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Foglio3!$A$2:$A$12</c:f>
              <c:strCache>
                <c:ptCount val="11"/>
                <c:pt idx="0">
                  <c:v>CASA, FAMIGLIA, SCUOLA E POLITICHE SOCIALI</c:v>
                </c:pt>
                <c:pt idx="1">
                  <c:v>ATTIVITA' ISTITUZIONALI, DECENTRAMENTO, ORGANIZZAZIONE, RISORSE UMANE</c:v>
                </c:pt>
                <c:pt idx="2">
                  <c:v>CULTURA, TURISMO, SPORT E TEMPO LIBERO</c:v>
                </c:pt>
                <c:pt idx="3">
                  <c:v>RISORSE STRATEGICHE E PATRIMONIO</c:v>
                </c:pt>
                <c:pt idx="4">
                  <c:v>AMBIENTE E TERRITORIO</c:v>
                </c:pt>
                <c:pt idx="5">
                  <c:v>LAVORO, ARTIGIANATO, COMMERCIO E ATTIVITA' PRODUTTIVE, SVILUPPO ECONOMICO</c:v>
                </c:pt>
                <c:pt idx="6">
                  <c:v>SICUREZZA</c:v>
                </c:pt>
                <c:pt idx="7">
                  <c:v>LAVORI PUBBLICI</c:v>
                </c:pt>
                <c:pt idx="8">
                  <c:v>URBANISTICA E EDILIZIA PRIVATA</c:v>
                </c:pt>
                <c:pt idx="9">
                  <c:v>MOBILITA', VIABILITA' E TRASPORTI</c:v>
                </c:pt>
                <c:pt idx="10">
                  <c:v>SALUTE</c:v>
                </c:pt>
              </c:strCache>
            </c:strRef>
          </c:cat>
          <c:val>
            <c:numRef>
              <c:f>Foglio3!$B$2:$B$12</c:f>
              <c:numCache>
                <c:formatCode>0.0</c:formatCode>
                <c:ptCount val="11"/>
                <c:pt idx="0">
                  <c:v>24.033437826541274</c:v>
                </c:pt>
                <c:pt idx="1">
                  <c:v>16.614420062695924</c:v>
                </c:pt>
                <c:pt idx="2">
                  <c:v>13.061650992685475</c:v>
                </c:pt>
                <c:pt idx="3">
                  <c:v>9.2998955067920583</c:v>
                </c:pt>
                <c:pt idx="4">
                  <c:v>9.1954022988505741</c:v>
                </c:pt>
                <c:pt idx="5">
                  <c:v>8.1504702194357357</c:v>
                </c:pt>
                <c:pt idx="6">
                  <c:v>5.851619644723093</c:v>
                </c:pt>
                <c:pt idx="7">
                  <c:v>4.5977011494252871</c:v>
                </c:pt>
                <c:pt idx="8">
                  <c:v>3.5527690700104495</c:v>
                </c:pt>
                <c:pt idx="9">
                  <c:v>3.1347962382445136</c:v>
                </c:pt>
                <c:pt idx="10">
                  <c:v>2.507836990595611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8B1-4A1F-B3AA-25A49028B08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2ae6b-9949-401c-9743-870332f5fb91" xsi:nil="true"/>
    <lcf76f155ced4ddcb4097134ff3c332f xmlns="97bf37b0-136a-4d96-984a-c67919487d0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5C01B789629D40B36DDF7AC4ECAF94" ma:contentTypeVersion="18" ma:contentTypeDescription="Creare un nuovo documento." ma:contentTypeScope="" ma:versionID="621ca80444db43acce93f28bfb507263">
  <xsd:schema xmlns:xsd="http://www.w3.org/2001/XMLSchema" xmlns:xs="http://www.w3.org/2001/XMLSchema" xmlns:p="http://schemas.microsoft.com/office/2006/metadata/properties" xmlns:ns2="b432ae6b-9949-401c-9743-870332f5fb91" xmlns:ns3="97bf37b0-136a-4d96-984a-c67919487d09" targetNamespace="http://schemas.microsoft.com/office/2006/metadata/properties" ma:root="true" ma:fieldsID="9aabfc2d30dd99462a5af0ad534369cf" ns2:_="" ns3:_="">
    <xsd:import namespace="b432ae6b-9949-401c-9743-870332f5fb91"/>
    <xsd:import namespace="97bf37b0-136a-4d96-984a-c67919487d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2ae6b-9949-401c-9743-870332f5fb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8c4578-802c-4b3a-ad0c-75d3559d2307}" ma:internalName="TaxCatchAll" ma:showField="CatchAllData" ma:web="b432ae6b-9949-401c-9743-870332f5f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37b0-136a-4d96-984a-c67919487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a7c11ea-0c45-4ddf-9752-1b73d4993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D8BC0-A6C7-4820-BA11-B9A4DBFE09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664E71-CBA8-4F09-8DC0-4FC494B19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CF3D3-72A8-494D-9901-8AD0580B0DE7}">
  <ds:schemaRefs>
    <ds:schemaRef ds:uri="http://schemas.microsoft.com/office/2006/metadata/properties"/>
    <ds:schemaRef ds:uri="http://schemas.microsoft.com/office/infopath/2007/PartnerControls"/>
    <ds:schemaRef ds:uri="b432ae6b-9949-401c-9743-870332f5fb91"/>
    <ds:schemaRef ds:uri="97bf37b0-136a-4d96-984a-c67919487d09"/>
  </ds:schemaRefs>
</ds:datastoreItem>
</file>

<file path=customXml/itemProps4.xml><?xml version="1.0" encoding="utf-8"?>
<ds:datastoreItem xmlns:ds="http://schemas.openxmlformats.org/officeDocument/2006/customXml" ds:itemID="{C621BC42-DB09-46F9-A4FB-98B5CA6F1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2ae6b-9949-401c-9743-870332f5fb91"/>
    <ds:schemaRef ds:uri="97bf37b0-136a-4d96-984a-c67919487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Piersanti</dc:creator>
  <cp:keywords/>
  <dc:description/>
  <cp:lastModifiedBy>Milena Cocchi</cp:lastModifiedBy>
  <cp:revision>2</cp:revision>
  <cp:lastPrinted>2025-03-05T11:24:00Z</cp:lastPrinted>
  <dcterms:created xsi:type="dcterms:W3CDTF">2025-03-11T09:19:00Z</dcterms:created>
  <dcterms:modified xsi:type="dcterms:W3CDTF">2025-03-11T09:19:00Z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0x010100125C01B789629D40B36DDF7AC4ECAF94</vt:lpwstr>
  </property>
  <property fmtid="{D5CDD505-2E9C-101B-9397-08002B2CF9AE}" pid="3" name="MediaServiceImageTags">
    <vt:lpwstr/>
  </property>
</Properties>
</file>